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9AC" w:rsidRPr="007C78DF" w:rsidRDefault="006B69AC" w:rsidP="006B69AC">
      <w:pPr>
        <w:pStyle w:val="Ttulo"/>
        <w:rPr>
          <w:lang w:val="es-ES"/>
        </w:rPr>
      </w:pPr>
      <w:bookmarkStart w:id="0" w:name="introducción"/>
      <w:r>
        <w:rPr>
          <w:rFonts w:ascii="Times New Roman" w:eastAsia="Times New Roman" w:hAnsi="Times New Roman" w:cs="Times New Roman"/>
          <w:color w:val="auto"/>
          <w:sz w:val="24"/>
          <w:szCs w:val="24"/>
          <w:lang w:val="es-ES"/>
        </w:rPr>
        <w:t xml:space="preserve">Anales AFA Vol. 32 Nro. </w:t>
      </w:r>
      <w:r w:rsidR="00E45692">
        <w:rPr>
          <w:rFonts w:ascii="Times New Roman" w:eastAsia="Times New Roman" w:hAnsi="Times New Roman" w:cs="Times New Roman"/>
          <w:color w:val="auto"/>
          <w:sz w:val="24"/>
          <w:szCs w:val="24"/>
          <w:lang w:val="es-ES"/>
        </w:rPr>
        <w:t>3 (Octubre 2021 - Enero 2021) 72</w:t>
      </w:r>
      <w:r>
        <w:rPr>
          <w:rFonts w:ascii="Times New Roman" w:eastAsia="Times New Roman" w:hAnsi="Times New Roman" w:cs="Times New Roman"/>
          <w:color w:val="auto"/>
          <w:sz w:val="24"/>
          <w:szCs w:val="24"/>
          <w:lang w:val="es-ES"/>
        </w:rPr>
        <w:t>-7</w:t>
      </w:r>
      <w:r w:rsidR="00E45692">
        <w:rPr>
          <w:rFonts w:ascii="Times New Roman" w:eastAsia="Times New Roman" w:hAnsi="Times New Roman" w:cs="Times New Roman"/>
          <w:color w:val="auto"/>
          <w:sz w:val="24"/>
          <w:szCs w:val="24"/>
          <w:lang w:val="es-ES"/>
        </w:rPr>
        <w:t>5</w:t>
      </w:r>
    </w:p>
    <w:p w:rsidR="006B69AC" w:rsidRDefault="006B69AC" w:rsidP="006B69AC">
      <w:pPr>
        <w:pStyle w:val="Textoindependiente"/>
        <w:spacing w:before="0" w:after="0"/>
        <w:jc w:val="right"/>
        <w:rPr>
          <w:rFonts w:ascii="Times New Roman" w:eastAsia="Times New Roman" w:hAnsi="Times New Roman" w:cs="Times New Roman"/>
          <w:lang w:val="es-ES"/>
        </w:rPr>
      </w:pPr>
      <w:r w:rsidRPr="006B69AC">
        <w:rPr>
          <w:rFonts w:ascii="Times New Roman" w:eastAsia="Times New Roman" w:hAnsi="Times New Roman" w:cs="Times New Roman"/>
          <w:lang w:val="es-ES"/>
        </w:rPr>
        <w:t>https://doi.org/10.31527/analesafa.2021.32.3.72</w:t>
      </w:r>
    </w:p>
    <w:p w:rsidR="006B69AC" w:rsidRPr="007C78DF" w:rsidRDefault="006B69AC" w:rsidP="006B69AC">
      <w:pPr>
        <w:pStyle w:val="Textoindependiente"/>
        <w:spacing w:before="0" w:after="0"/>
        <w:jc w:val="right"/>
        <w:rPr>
          <w:lang w:val="es-ES"/>
        </w:rPr>
      </w:pPr>
      <w:r>
        <w:rPr>
          <w:rFonts w:ascii="Times New Roman" w:eastAsia="Times New Roman" w:hAnsi="Times New Roman" w:cs="Times New Roman"/>
          <w:lang w:val="es-ES"/>
        </w:rPr>
        <w:t>Física médica</w:t>
      </w:r>
    </w:p>
    <w:p w:rsidR="006B69AC" w:rsidRDefault="006B69AC" w:rsidP="006B69AC">
      <w:pPr>
        <w:pStyle w:val="Textoindependiente"/>
        <w:spacing w:before="0" w:after="0"/>
        <w:jc w:val="right"/>
        <w:rPr>
          <w:rFonts w:ascii="Times New Roman" w:eastAsia="Times New Roman" w:hAnsi="Times New Roman" w:cs="Times New Roman"/>
          <w:b/>
          <w:bCs/>
          <w:sz w:val="28"/>
          <w:szCs w:val="28"/>
          <w:lang w:val="es-ES"/>
        </w:rPr>
      </w:pPr>
    </w:p>
    <w:p w:rsidR="00CB286A" w:rsidRDefault="00CB286A" w:rsidP="00CB286A">
      <w:pPr>
        <w:spacing w:after="0"/>
        <w:jc w:val="center"/>
        <w:rPr>
          <w:rFonts w:ascii="Times New Roman" w:hAnsi="Times New Roman" w:cs="Times New Roman"/>
          <w:b/>
          <w:bCs/>
          <w:sz w:val="28"/>
          <w:szCs w:val="28"/>
          <w:lang w:val="es-ES"/>
        </w:rPr>
      </w:pPr>
      <w:r w:rsidRPr="00CB286A">
        <w:rPr>
          <w:rFonts w:ascii="Times New Roman" w:hAnsi="Times New Roman" w:cs="Times New Roman"/>
          <w:b/>
          <w:bCs/>
          <w:sz w:val="28"/>
          <w:szCs w:val="28"/>
          <w:lang w:val="es-ES"/>
        </w:rPr>
        <w:t xml:space="preserve">EFECTO DE LAS IMPUREZAS RADIOQUÍMICAS DEL </w:t>
      </w:r>
      <w:r w:rsidRPr="00CB286A">
        <w:rPr>
          <w:rFonts w:ascii="Times New Roman" w:hAnsi="Times New Roman" w:cs="Times New Roman"/>
          <w:b/>
          <w:bCs/>
          <w:sz w:val="28"/>
          <w:szCs w:val="28"/>
          <w:vertAlign w:val="superscript"/>
          <w:lang w:val="es-ES"/>
        </w:rPr>
        <w:t>99m</w:t>
      </w:r>
      <w:r w:rsidRPr="00CB286A">
        <w:rPr>
          <w:rFonts w:ascii="Times New Roman" w:hAnsi="Times New Roman" w:cs="Times New Roman"/>
          <w:b/>
          <w:bCs/>
          <w:sz w:val="28"/>
          <w:szCs w:val="28"/>
          <w:lang w:val="es-ES"/>
        </w:rPr>
        <w:t>TC-MIBI EN LA CALIDAD</w:t>
      </w:r>
      <w:r>
        <w:rPr>
          <w:rFonts w:ascii="Times New Roman" w:hAnsi="Times New Roman" w:cs="Times New Roman"/>
          <w:b/>
          <w:bCs/>
          <w:sz w:val="28"/>
          <w:szCs w:val="28"/>
          <w:lang w:val="es-ES"/>
        </w:rPr>
        <w:t xml:space="preserve"> </w:t>
      </w:r>
      <w:r w:rsidRPr="00CB286A">
        <w:rPr>
          <w:rFonts w:ascii="Times New Roman" w:hAnsi="Times New Roman" w:cs="Times New Roman"/>
          <w:b/>
          <w:bCs/>
          <w:sz w:val="28"/>
          <w:szCs w:val="28"/>
          <w:lang w:val="es-ES"/>
        </w:rPr>
        <w:t>DIAGNÓSTICA DE LAS IMÁGENES EN MEDICINA NUCLEAR</w:t>
      </w:r>
    </w:p>
    <w:p w:rsidR="00CB286A" w:rsidRPr="00CB286A" w:rsidRDefault="00CB286A" w:rsidP="00CB286A">
      <w:pPr>
        <w:spacing w:after="0"/>
        <w:jc w:val="center"/>
        <w:rPr>
          <w:rFonts w:ascii="Times New Roman" w:hAnsi="Times New Roman" w:cs="Times New Roman"/>
          <w:b/>
          <w:bCs/>
          <w:sz w:val="28"/>
          <w:szCs w:val="28"/>
          <w:lang w:val="es-ES"/>
        </w:rPr>
      </w:pPr>
    </w:p>
    <w:p w:rsidR="006B69AC" w:rsidRDefault="00CB286A" w:rsidP="00CB286A">
      <w:pPr>
        <w:spacing w:after="0"/>
        <w:jc w:val="center"/>
        <w:rPr>
          <w:rFonts w:ascii="Times New Roman" w:eastAsia="Times New Roman" w:hAnsi="Times New Roman" w:cs="Times New Roman"/>
          <w:b/>
        </w:rPr>
      </w:pPr>
      <w:r w:rsidRPr="00CB286A">
        <w:rPr>
          <w:rFonts w:ascii="Times New Roman" w:hAnsi="Times New Roman" w:cs="Times New Roman"/>
          <w:b/>
          <w:bCs/>
          <w:sz w:val="28"/>
          <w:szCs w:val="28"/>
          <w:lang w:val="es-ES"/>
        </w:rPr>
        <w:t xml:space="preserve">EFFECT OF THE RADIOCHEMICAL IMPURITIES OF </w:t>
      </w:r>
      <w:r w:rsidRPr="00CB286A">
        <w:rPr>
          <w:rFonts w:ascii="Times New Roman" w:hAnsi="Times New Roman" w:cs="Times New Roman"/>
          <w:b/>
          <w:bCs/>
          <w:sz w:val="28"/>
          <w:szCs w:val="28"/>
          <w:vertAlign w:val="superscript"/>
          <w:lang w:val="es-ES"/>
        </w:rPr>
        <w:t>99m</w:t>
      </w:r>
      <w:r w:rsidRPr="00CB286A">
        <w:rPr>
          <w:rFonts w:ascii="Times New Roman" w:hAnsi="Times New Roman" w:cs="Times New Roman"/>
          <w:b/>
          <w:bCs/>
          <w:sz w:val="28"/>
          <w:szCs w:val="28"/>
          <w:lang w:val="es-ES"/>
        </w:rPr>
        <w:t>TC-MIBI ON THE</w:t>
      </w:r>
      <w:r>
        <w:rPr>
          <w:rFonts w:ascii="Times New Roman" w:hAnsi="Times New Roman" w:cs="Times New Roman"/>
          <w:b/>
          <w:bCs/>
          <w:sz w:val="28"/>
          <w:szCs w:val="28"/>
          <w:lang w:val="es-ES"/>
        </w:rPr>
        <w:t xml:space="preserve"> </w:t>
      </w:r>
      <w:r w:rsidRPr="00CB286A">
        <w:rPr>
          <w:rFonts w:ascii="Times New Roman" w:hAnsi="Times New Roman" w:cs="Times New Roman"/>
          <w:b/>
          <w:bCs/>
          <w:sz w:val="28"/>
          <w:szCs w:val="28"/>
          <w:lang w:val="es-ES"/>
        </w:rPr>
        <w:t>DIAGNOSTIC QUALITY OF THE IMAGES IN NUCLEAR MEDICINE</w:t>
      </w:r>
    </w:p>
    <w:p w:rsidR="00CB0C29" w:rsidRDefault="00CB0C29" w:rsidP="006B69AC">
      <w:pPr>
        <w:spacing w:after="0"/>
        <w:jc w:val="center"/>
        <w:rPr>
          <w:rFonts w:ascii="Times New Roman" w:hAnsi="Times New Roman" w:cs="Times New Roman"/>
          <w:b/>
          <w:bCs/>
          <w:lang w:val="es-ES"/>
        </w:rPr>
      </w:pPr>
    </w:p>
    <w:p w:rsidR="006B69AC" w:rsidRDefault="00EA760F" w:rsidP="00EA760F">
      <w:pPr>
        <w:spacing w:after="0"/>
        <w:jc w:val="center"/>
        <w:rPr>
          <w:rFonts w:ascii="Times New Roman" w:hAnsi="Times New Roman" w:cs="Times New Roman"/>
          <w:b/>
          <w:bCs/>
          <w:vertAlign w:val="superscript"/>
          <w:lang w:val="es-ES"/>
        </w:rPr>
      </w:pPr>
      <w:r w:rsidRPr="00EA760F">
        <w:rPr>
          <w:rFonts w:ascii="Times New Roman" w:hAnsi="Times New Roman" w:cs="Times New Roman"/>
          <w:b/>
          <w:bCs/>
          <w:lang w:val="es-ES"/>
        </w:rPr>
        <w:t xml:space="preserve">N. Guisande </w:t>
      </w:r>
      <w:r w:rsidRPr="00EA760F">
        <w:rPr>
          <w:rFonts w:ascii="Times New Roman" w:hAnsi="Times New Roman" w:cs="Times New Roman"/>
          <w:b/>
          <w:bCs/>
          <w:vertAlign w:val="superscript"/>
          <w:lang w:val="es-ES"/>
        </w:rPr>
        <w:t>1</w:t>
      </w:r>
      <w:r w:rsidRPr="00EA760F">
        <w:rPr>
          <w:rFonts w:ascii="Times New Roman" w:hAnsi="Times New Roman" w:cs="Times New Roman"/>
          <w:b/>
          <w:bCs/>
          <w:lang w:val="es-ES"/>
        </w:rPr>
        <w:t xml:space="preserve">, J. Sanchez </w:t>
      </w:r>
      <w:r w:rsidRPr="00EA760F">
        <w:rPr>
          <w:rFonts w:ascii="Times New Roman" w:hAnsi="Times New Roman" w:cs="Times New Roman"/>
          <w:b/>
          <w:bCs/>
          <w:vertAlign w:val="superscript"/>
          <w:lang w:val="es-ES"/>
        </w:rPr>
        <w:t>1</w:t>
      </w:r>
      <w:r w:rsidRPr="00EA760F">
        <w:rPr>
          <w:rFonts w:ascii="Times New Roman" w:hAnsi="Times New Roman" w:cs="Times New Roman"/>
          <w:b/>
          <w:bCs/>
          <w:lang w:val="es-ES"/>
        </w:rPr>
        <w:t xml:space="preserve">, L. Garavaglia </w:t>
      </w:r>
      <w:r w:rsidRPr="00EA760F">
        <w:rPr>
          <w:rFonts w:ascii="Times New Roman" w:hAnsi="Times New Roman" w:cs="Times New Roman"/>
          <w:b/>
          <w:bCs/>
          <w:vertAlign w:val="superscript"/>
          <w:lang w:val="es-ES"/>
        </w:rPr>
        <w:t>1</w:t>
      </w:r>
      <w:r w:rsidRPr="00EA760F">
        <w:rPr>
          <w:rFonts w:ascii="Times New Roman" w:hAnsi="Times New Roman" w:cs="Times New Roman"/>
          <w:b/>
          <w:bCs/>
          <w:lang w:val="es-ES"/>
        </w:rPr>
        <w:t xml:space="preserve">, S. Rozanskas </w:t>
      </w:r>
      <w:r w:rsidRPr="00EA760F">
        <w:rPr>
          <w:rFonts w:ascii="Times New Roman" w:hAnsi="Times New Roman" w:cs="Times New Roman"/>
          <w:b/>
          <w:bCs/>
          <w:vertAlign w:val="superscript"/>
          <w:lang w:val="es-ES"/>
        </w:rPr>
        <w:t>2</w:t>
      </w:r>
      <w:r w:rsidRPr="00EA760F">
        <w:rPr>
          <w:rFonts w:ascii="Times New Roman" w:hAnsi="Times New Roman" w:cs="Times New Roman"/>
          <w:b/>
          <w:bCs/>
          <w:lang w:val="es-ES"/>
        </w:rPr>
        <w:t xml:space="preserve">, G. Dopta </w:t>
      </w:r>
      <w:r w:rsidRPr="00EA760F">
        <w:rPr>
          <w:rFonts w:ascii="Times New Roman" w:hAnsi="Times New Roman" w:cs="Times New Roman"/>
          <w:b/>
          <w:bCs/>
          <w:vertAlign w:val="superscript"/>
          <w:lang w:val="es-ES"/>
        </w:rPr>
        <w:t>3</w:t>
      </w:r>
      <w:r w:rsidRPr="00EA760F">
        <w:rPr>
          <w:rFonts w:ascii="Times New Roman" w:hAnsi="Times New Roman" w:cs="Times New Roman"/>
          <w:b/>
          <w:bCs/>
          <w:lang w:val="es-ES"/>
        </w:rPr>
        <w:t xml:space="preserve">, K. Pertusi </w:t>
      </w:r>
      <w:r w:rsidRPr="00EA760F">
        <w:rPr>
          <w:rFonts w:ascii="Times New Roman" w:hAnsi="Times New Roman" w:cs="Times New Roman"/>
          <w:b/>
          <w:bCs/>
          <w:vertAlign w:val="superscript"/>
          <w:lang w:val="es-ES"/>
        </w:rPr>
        <w:t>3</w:t>
      </w:r>
      <w:r w:rsidRPr="00EA760F">
        <w:rPr>
          <w:rFonts w:ascii="Times New Roman" w:hAnsi="Times New Roman" w:cs="Times New Roman"/>
          <w:b/>
          <w:bCs/>
          <w:lang w:val="es-ES"/>
        </w:rPr>
        <w:t>, V. Sanz</w:t>
      </w:r>
      <w:r>
        <w:rPr>
          <w:rFonts w:ascii="Times New Roman" w:hAnsi="Times New Roman" w:cs="Times New Roman"/>
          <w:b/>
          <w:bCs/>
          <w:lang w:val="es-ES"/>
        </w:rPr>
        <w:t xml:space="preserve"> </w:t>
      </w:r>
      <w:r w:rsidRPr="00EA760F">
        <w:rPr>
          <w:rFonts w:ascii="Times New Roman" w:hAnsi="Times New Roman" w:cs="Times New Roman"/>
          <w:b/>
          <w:bCs/>
          <w:vertAlign w:val="superscript"/>
          <w:lang w:val="es-ES"/>
        </w:rPr>
        <w:t>1,4</w:t>
      </w:r>
      <w:r w:rsidRPr="00EA760F">
        <w:rPr>
          <w:rFonts w:ascii="Times New Roman" w:hAnsi="Times New Roman" w:cs="Times New Roman"/>
          <w:b/>
          <w:bCs/>
          <w:lang w:val="es-ES"/>
        </w:rPr>
        <w:t xml:space="preserve">, A. Mele </w:t>
      </w:r>
      <w:r w:rsidRPr="00EA760F">
        <w:rPr>
          <w:rFonts w:ascii="Times New Roman" w:hAnsi="Times New Roman" w:cs="Times New Roman"/>
          <w:b/>
          <w:bCs/>
          <w:vertAlign w:val="superscript"/>
          <w:lang w:val="es-ES"/>
        </w:rPr>
        <w:t>3</w:t>
      </w:r>
      <w:r w:rsidRPr="00EA760F">
        <w:rPr>
          <w:rFonts w:ascii="Times New Roman" w:hAnsi="Times New Roman" w:cs="Times New Roman"/>
          <w:b/>
          <w:bCs/>
          <w:lang w:val="es-ES"/>
        </w:rPr>
        <w:t xml:space="preserve">, L. Illanes </w:t>
      </w:r>
      <w:r w:rsidRPr="00EA760F">
        <w:rPr>
          <w:rFonts w:ascii="Times New Roman" w:hAnsi="Times New Roman" w:cs="Times New Roman"/>
          <w:b/>
          <w:bCs/>
          <w:vertAlign w:val="superscript"/>
          <w:lang w:val="es-ES"/>
        </w:rPr>
        <w:t>1</w:t>
      </w:r>
      <w:r w:rsidRPr="00EA760F">
        <w:rPr>
          <w:rFonts w:ascii="Times New Roman" w:hAnsi="Times New Roman" w:cs="Times New Roman"/>
          <w:b/>
          <w:bCs/>
          <w:lang w:val="es-ES"/>
        </w:rPr>
        <w:t xml:space="preserve"> y C. Y. Chain *</w:t>
      </w:r>
      <w:r w:rsidRPr="00EA760F">
        <w:rPr>
          <w:rFonts w:ascii="Times New Roman" w:hAnsi="Times New Roman" w:cs="Times New Roman"/>
          <w:b/>
          <w:bCs/>
          <w:vertAlign w:val="superscript"/>
          <w:lang w:val="es-ES"/>
        </w:rPr>
        <w:t>1</w:t>
      </w:r>
    </w:p>
    <w:p w:rsidR="00EA760F" w:rsidRPr="007C78DF" w:rsidRDefault="00EA760F" w:rsidP="00EA760F">
      <w:pPr>
        <w:spacing w:after="0"/>
        <w:jc w:val="center"/>
        <w:rPr>
          <w:rFonts w:ascii="Times New Roman" w:hAnsi="Times New Roman" w:cs="Times New Roman"/>
          <w:lang w:val="es-ES"/>
        </w:rPr>
      </w:pPr>
    </w:p>
    <w:p w:rsidR="004E6207" w:rsidRPr="004E6207" w:rsidRDefault="004E6207" w:rsidP="004E6207">
      <w:pPr>
        <w:spacing w:after="120"/>
        <w:jc w:val="both"/>
        <w:rPr>
          <w:rFonts w:ascii="Times New Roman" w:hAnsi="Times New Roman" w:cs="Times New Roman"/>
        </w:rPr>
      </w:pPr>
      <w:r w:rsidRPr="004E6207">
        <w:rPr>
          <w:rFonts w:ascii="Times New Roman" w:hAnsi="Times New Roman" w:cs="Times New Roman"/>
          <w:vertAlign w:val="superscript"/>
        </w:rPr>
        <w:t>1</w:t>
      </w:r>
      <w:r>
        <w:rPr>
          <w:rFonts w:ascii="Times New Roman" w:hAnsi="Times New Roman" w:cs="Times New Roman"/>
        </w:rPr>
        <w:t xml:space="preserve"> </w:t>
      </w:r>
      <w:r w:rsidRPr="004E6207">
        <w:rPr>
          <w:rFonts w:ascii="Times New Roman" w:hAnsi="Times New Roman" w:cs="Times New Roman"/>
        </w:rPr>
        <w:t>Facultad de Ciencias Exactas, Universidad Nacional de La Plata (UNLP),</w:t>
      </w:r>
      <w:r>
        <w:rPr>
          <w:rFonts w:ascii="Times New Roman" w:hAnsi="Times New Roman" w:cs="Times New Roman"/>
        </w:rPr>
        <w:t xml:space="preserve"> </w:t>
      </w:r>
      <w:r w:rsidRPr="004E6207">
        <w:rPr>
          <w:rFonts w:ascii="Times New Roman" w:hAnsi="Times New Roman" w:cs="Times New Roman"/>
        </w:rPr>
        <w:t>Calles 47 y 115 (B1900AJL) La Plata, Prov. Buenos Aires, Argentina.</w:t>
      </w:r>
    </w:p>
    <w:p w:rsidR="004E6207" w:rsidRPr="004E6207" w:rsidRDefault="004E6207" w:rsidP="004E6207">
      <w:pPr>
        <w:spacing w:after="120"/>
        <w:jc w:val="both"/>
        <w:rPr>
          <w:rFonts w:ascii="Times New Roman" w:hAnsi="Times New Roman" w:cs="Times New Roman"/>
        </w:rPr>
      </w:pPr>
      <w:proofErr w:type="gramStart"/>
      <w:r w:rsidRPr="004E6207">
        <w:rPr>
          <w:rFonts w:ascii="Times New Roman" w:hAnsi="Times New Roman" w:cs="Times New Roman"/>
          <w:vertAlign w:val="superscript"/>
        </w:rPr>
        <w:t>2</w:t>
      </w:r>
      <w:r w:rsidRPr="004E6207">
        <w:rPr>
          <w:rFonts w:ascii="Times New Roman" w:hAnsi="Times New Roman" w:cs="Times New Roman"/>
        </w:rPr>
        <w:t xml:space="preserve"> CIMED diagnóstico por imágenes,</w:t>
      </w:r>
      <w:r>
        <w:rPr>
          <w:rFonts w:ascii="Times New Roman" w:hAnsi="Times New Roman" w:cs="Times New Roman"/>
        </w:rPr>
        <w:t xml:space="preserve"> </w:t>
      </w:r>
      <w:r w:rsidRPr="004E6207">
        <w:rPr>
          <w:rFonts w:ascii="Times New Roman" w:hAnsi="Times New Roman" w:cs="Times New Roman"/>
        </w:rPr>
        <w:t>Calle 5 N°416 (B1902CKR), La Plata, Prov. Buenos Aires, Argentina.</w:t>
      </w:r>
      <w:proofErr w:type="gramEnd"/>
    </w:p>
    <w:p w:rsidR="004E6207" w:rsidRPr="004E6207" w:rsidRDefault="004E6207" w:rsidP="004E6207">
      <w:pPr>
        <w:spacing w:after="120"/>
        <w:jc w:val="both"/>
        <w:rPr>
          <w:rFonts w:ascii="Times New Roman" w:hAnsi="Times New Roman" w:cs="Times New Roman"/>
        </w:rPr>
      </w:pPr>
      <w:proofErr w:type="gramStart"/>
      <w:r w:rsidRPr="004E6207">
        <w:rPr>
          <w:rFonts w:ascii="Times New Roman" w:hAnsi="Times New Roman" w:cs="Times New Roman"/>
          <w:vertAlign w:val="superscript"/>
        </w:rPr>
        <w:t>3</w:t>
      </w:r>
      <w:r w:rsidRPr="004E6207">
        <w:rPr>
          <w:rFonts w:ascii="Times New Roman" w:hAnsi="Times New Roman" w:cs="Times New Roman"/>
        </w:rPr>
        <w:t xml:space="preserve"> Instituto de Cardiología La Plata,</w:t>
      </w:r>
      <w:r>
        <w:rPr>
          <w:rFonts w:ascii="Times New Roman" w:hAnsi="Times New Roman" w:cs="Times New Roman"/>
        </w:rPr>
        <w:t xml:space="preserve"> </w:t>
      </w:r>
      <w:r w:rsidRPr="004E6207">
        <w:rPr>
          <w:rFonts w:ascii="Times New Roman" w:hAnsi="Times New Roman" w:cs="Times New Roman"/>
        </w:rPr>
        <w:t>Calle 6 N°212 e/ 37 y 38 (B1902CLJ), La Plata, Prov. Buenos Aires, Argentina.</w:t>
      </w:r>
      <w:proofErr w:type="gramEnd"/>
    </w:p>
    <w:p w:rsidR="004E6207" w:rsidRDefault="004E6207" w:rsidP="004E6207">
      <w:pPr>
        <w:spacing w:after="120"/>
        <w:jc w:val="both"/>
        <w:rPr>
          <w:rFonts w:ascii="Times New Roman" w:hAnsi="Times New Roman" w:cs="Times New Roman"/>
        </w:rPr>
      </w:pPr>
      <w:r w:rsidRPr="004E6207">
        <w:rPr>
          <w:rFonts w:ascii="Times New Roman" w:hAnsi="Times New Roman" w:cs="Times New Roman"/>
          <w:vertAlign w:val="superscript"/>
        </w:rPr>
        <w:t xml:space="preserve">4 </w:t>
      </w:r>
      <w:r w:rsidRPr="004E6207">
        <w:rPr>
          <w:rFonts w:ascii="Times New Roman" w:hAnsi="Times New Roman" w:cs="Times New Roman"/>
        </w:rPr>
        <w:t>Comisión Nacional de Energía Atómica (CNEA),</w:t>
      </w:r>
      <w:r>
        <w:rPr>
          <w:rFonts w:ascii="Times New Roman" w:hAnsi="Times New Roman" w:cs="Times New Roman"/>
        </w:rPr>
        <w:t xml:space="preserve"> </w:t>
      </w:r>
      <w:r w:rsidRPr="004E6207">
        <w:rPr>
          <w:rFonts w:ascii="Times New Roman" w:hAnsi="Times New Roman" w:cs="Times New Roman"/>
        </w:rPr>
        <w:t xml:space="preserve">Av. </w:t>
      </w:r>
      <w:proofErr w:type="gramStart"/>
      <w:r w:rsidRPr="004E6207">
        <w:rPr>
          <w:rFonts w:ascii="Times New Roman" w:hAnsi="Times New Roman" w:cs="Times New Roman"/>
        </w:rPr>
        <w:t>del</w:t>
      </w:r>
      <w:proofErr w:type="gramEnd"/>
      <w:r w:rsidRPr="004E6207">
        <w:rPr>
          <w:rFonts w:ascii="Times New Roman" w:hAnsi="Times New Roman" w:cs="Times New Roman"/>
        </w:rPr>
        <w:t xml:space="preserve"> Libertador 8250 (C1429BNP), CABA, Argentina.</w:t>
      </w:r>
    </w:p>
    <w:p w:rsidR="004E6207" w:rsidRPr="004E6207" w:rsidRDefault="004E6207" w:rsidP="004E6207">
      <w:pPr>
        <w:spacing w:after="120"/>
        <w:jc w:val="both"/>
        <w:rPr>
          <w:rFonts w:ascii="Times New Roman" w:hAnsi="Times New Roman" w:cs="Times New Roman"/>
        </w:rPr>
      </w:pPr>
    </w:p>
    <w:p w:rsidR="006B69AC" w:rsidRPr="007C78DF" w:rsidRDefault="006B69AC" w:rsidP="006B69AC">
      <w:pPr>
        <w:spacing w:after="0"/>
        <w:rPr>
          <w:lang w:val="es-ES"/>
        </w:rPr>
      </w:pPr>
      <w:r>
        <w:rPr>
          <w:rFonts w:ascii="Times New Roman" w:eastAsia="Times New Roman" w:hAnsi="Times New Roman" w:cs="Times New Roman"/>
          <w:lang w:val="es-ES"/>
        </w:rPr>
        <w:t xml:space="preserve">Autor para correspondencia: email: </w:t>
      </w:r>
      <w:r w:rsidR="004E6207" w:rsidRPr="004E6207">
        <w:rPr>
          <w:rStyle w:val="EnlacedeInternet"/>
          <w:rFonts w:ascii="Times New Roman" w:eastAsia="Times New Roman" w:hAnsi="Times New Roman" w:cs="Times New Roman"/>
          <w:color w:val="0000FF"/>
          <w:lang w:val="es-ES"/>
        </w:rPr>
        <w:t>yamil@fisica.unlp.edu.ar</w:t>
      </w:r>
    </w:p>
    <w:p w:rsidR="006B69AC" w:rsidRDefault="006B69AC" w:rsidP="006B69AC">
      <w:pPr>
        <w:spacing w:after="0"/>
        <w:rPr>
          <w:rFonts w:ascii="Times New Roman" w:eastAsia="Times New Roman" w:hAnsi="Times New Roman" w:cs="Times New Roman"/>
          <w:color w:val="0000FF"/>
          <w:lang w:val="es-ES"/>
        </w:rPr>
      </w:pPr>
    </w:p>
    <w:p w:rsidR="006B69AC" w:rsidRDefault="006B69AC" w:rsidP="006B69AC">
      <w:pPr>
        <w:spacing w:after="0"/>
        <w:rPr>
          <w:lang w:val="es-ES"/>
        </w:rPr>
      </w:pPr>
      <w:r>
        <w:rPr>
          <w:noProof/>
          <w:lang w:val="es-ES" w:eastAsia="es-ES"/>
        </w:rPr>
        <w:drawing>
          <wp:inline distT="0" distB="0" distL="0" distR="0">
            <wp:extent cx="83185" cy="129540"/>
            <wp:effectExtent l="0" t="0" r="0" b="0"/>
            <wp:docPr id="2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4" cstate="print"/>
                    <a:stretch>
                      <a:fillRect/>
                    </a:stretch>
                  </pic:blipFill>
                  <pic:spPr bwMode="auto">
                    <a:xfrm>
                      <a:off x="0" y="0"/>
                      <a:ext cx="83185" cy="129540"/>
                    </a:xfrm>
                    <a:prstGeom prst="rect">
                      <a:avLst/>
                    </a:prstGeom>
                  </pic:spPr>
                </pic:pic>
              </a:graphicData>
            </a:graphic>
          </wp:inline>
        </w:drawing>
      </w:r>
      <w:r>
        <w:rPr>
          <w:rFonts w:ascii="Times New Roman" w:eastAsia="Times New Roman" w:hAnsi="Times New Roman" w:cs="Times New Roman"/>
          <w:lang w:val="es-ES"/>
        </w:rPr>
        <w:t xml:space="preserve">   ISSN 1850-1168 (online)</w:t>
      </w:r>
    </w:p>
    <w:p w:rsidR="006B69AC" w:rsidRDefault="006B69AC" w:rsidP="006B69AC">
      <w:pPr>
        <w:spacing w:after="0"/>
        <w:rPr>
          <w:rFonts w:ascii="Times New Roman" w:eastAsia="Times New Roman" w:hAnsi="Times New Roman" w:cs="Times New Roman"/>
          <w:lang w:val="es-ES"/>
        </w:rPr>
      </w:pPr>
    </w:p>
    <w:p w:rsidR="004E6207" w:rsidRDefault="004E6207" w:rsidP="004E6207">
      <w:pPr>
        <w:spacing w:after="0"/>
        <w:jc w:val="center"/>
        <w:rPr>
          <w:rFonts w:ascii="Times New Roman" w:hAnsi="Times New Roman" w:cs="Times New Roman"/>
        </w:rPr>
      </w:pPr>
      <w:r w:rsidRPr="004E6207">
        <w:rPr>
          <w:rFonts w:ascii="Times New Roman" w:hAnsi="Times New Roman" w:cs="Times New Roman"/>
        </w:rPr>
        <w:t xml:space="preserve">Recibido: 16/12/2020 </w:t>
      </w:r>
      <w:r>
        <w:rPr>
          <w:rFonts w:ascii="Times New Roman" w:hAnsi="Times New Roman" w:cs="Times New Roman"/>
        </w:rPr>
        <w:t xml:space="preserve">       </w:t>
      </w:r>
      <w:r w:rsidRPr="004E6207">
        <w:rPr>
          <w:rFonts w:ascii="Times New Roman" w:hAnsi="Times New Roman" w:cs="Times New Roman"/>
        </w:rPr>
        <w:t xml:space="preserve"> Aceptado: 26/05/2021</w:t>
      </w:r>
    </w:p>
    <w:p w:rsidR="004E6207" w:rsidRPr="00972E4B" w:rsidRDefault="004E6207" w:rsidP="004E6207">
      <w:pPr>
        <w:spacing w:after="0"/>
        <w:jc w:val="center"/>
        <w:rPr>
          <w:rFonts w:ascii="Times New Roman" w:hAnsi="Times New Roman" w:cs="Times New Roman"/>
        </w:rPr>
      </w:pPr>
    </w:p>
    <w:p w:rsidR="006B69AC" w:rsidRPr="007C78DF" w:rsidRDefault="006B69AC" w:rsidP="006B69AC">
      <w:pPr>
        <w:spacing w:after="120"/>
        <w:rPr>
          <w:lang w:val="es-ES"/>
        </w:rPr>
      </w:pPr>
      <w:r>
        <w:rPr>
          <w:rFonts w:ascii="Times New Roman" w:eastAsia="Times New Roman" w:hAnsi="Times New Roman" w:cs="Times New Roman"/>
          <w:b/>
          <w:lang w:val="es-ES"/>
        </w:rPr>
        <w:t>Resumen:</w:t>
      </w:r>
    </w:p>
    <w:p w:rsidR="006B69AC" w:rsidRDefault="00017958" w:rsidP="00017958">
      <w:pPr>
        <w:spacing w:after="0"/>
        <w:jc w:val="both"/>
        <w:rPr>
          <w:rFonts w:ascii="Times New Roman" w:eastAsia="Times New Roman" w:hAnsi="Times New Roman" w:cs="Times New Roman"/>
          <w:lang w:val="es-ES"/>
        </w:rPr>
      </w:pPr>
      <w:r w:rsidRPr="00017958">
        <w:rPr>
          <w:rFonts w:ascii="Times New Roman" w:eastAsia="Times New Roman" w:hAnsi="Times New Roman" w:cs="Times New Roman"/>
          <w:lang w:val="es-ES"/>
        </w:rPr>
        <w:t xml:space="preserve">En este trabajo se analiza la confiabilidad del método de control de pureza radioquímica del </w:t>
      </w:r>
      <w:r w:rsidRPr="00017958">
        <w:rPr>
          <w:rFonts w:ascii="Times New Roman" w:eastAsia="Times New Roman" w:hAnsi="Times New Roman" w:cs="Times New Roman"/>
          <w:vertAlign w:val="superscript"/>
          <w:lang w:val="es-ES"/>
        </w:rPr>
        <w:t>99m</w:t>
      </w:r>
      <w:r w:rsidRPr="00017958">
        <w:rPr>
          <w:rFonts w:ascii="Times New Roman" w:eastAsia="Times New Roman" w:hAnsi="Times New Roman" w:cs="Times New Roman"/>
          <w:lang w:val="es-ES"/>
        </w:rPr>
        <w:t>Tc-MIBI utilizado en</w:t>
      </w:r>
      <w:r>
        <w:rPr>
          <w:rFonts w:ascii="Times New Roman" w:eastAsia="Times New Roman" w:hAnsi="Times New Roman" w:cs="Times New Roman"/>
          <w:lang w:val="es-ES"/>
        </w:rPr>
        <w:t xml:space="preserve"> </w:t>
      </w:r>
      <w:r w:rsidRPr="00017958">
        <w:rPr>
          <w:rFonts w:ascii="Times New Roman" w:eastAsia="Times New Roman" w:hAnsi="Times New Roman" w:cs="Times New Roman"/>
          <w:lang w:val="es-ES"/>
        </w:rPr>
        <w:t>los servicios de medicina nuclear y se discute la influencia de la mayor existencia de impurezas radioquímicas en la</w:t>
      </w:r>
      <w:r>
        <w:rPr>
          <w:rFonts w:ascii="Times New Roman" w:eastAsia="Times New Roman" w:hAnsi="Times New Roman" w:cs="Times New Roman"/>
          <w:lang w:val="es-ES"/>
        </w:rPr>
        <w:t xml:space="preserve"> </w:t>
      </w:r>
      <w:r w:rsidRPr="00017958">
        <w:rPr>
          <w:rFonts w:ascii="Times New Roman" w:eastAsia="Times New Roman" w:hAnsi="Times New Roman" w:cs="Times New Roman"/>
          <w:lang w:val="es-ES"/>
        </w:rPr>
        <w:t>calidad diagnóstica de las imágenes obtenidas.</w:t>
      </w:r>
    </w:p>
    <w:p w:rsidR="00017958" w:rsidRPr="00B741E4" w:rsidRDefault="00017958" w:rsidP="00017958">
      <w:pPr>
        <w:spacing w:after="0"/>
        <w:jc w:val="both"/>
        <w:rPr>
          <w:rFonts w:ascii="Times New Roman" w:eastAsia="Times New Roman" w:hAnsi="Times New Roman" w:cs="Times New Roman"/>
          <w:lang w:val="es-ES"/>
        </w:rPr>
      </w:pPr>
    </w:p>
    <w:p w:rsidR="006B69AC" w:rsidRPr="007C78DF" w:rsidRDefault="006B69AC" w:rsidP="006B69AC">
      <w:pPr>
        <w:spacing w:after="0"/>
        <w:jc w:val="both"/>
        <w:rPr>
          <w:lang w:val="es-ES"/>
        </w:rPr>
      </w:pPr>
      <w:r>
        <w:rPr>
          <w:rFonts w:ascii="Times New Roman" w:eastAsia="Times New Roman" w:hAnsi="Times New Roman" w:cs="Times New Roman"/>
          <w:b/>
          <w:lang w:val="es-ES"/>
        </w:rPr>
        <w:t>Palabras clave:</w:t>
      </w:r>
      <w:r>
        <w:rPr>
          <w:rFonts w:ascii="Times New Roman" w:eastAsia="Times New Roman" w:hAnsi="Times New Roman" w:cs="Times New Roman"/>
          <w:lang w:val="es-ES"/>
        </w:rPr>
        <w:t xml:space="preserve"> </w:t>
      </w:r>
      <w:r w:rsidR="00017958" w:rsidRPr="00017958">
        <w:rPr>
          <w:rFonts w:ascii="Times New Roman" w:eastAsia="Times New Roman" w:hAnsi="Times New Roman" w:cs="Times New Roman"/>
          <w:lang w:val="es-ES"/>
        </w:rPr>
        <w:t xml:space="preserve">pureza radioquímica, </w:t>
      </w:r>
      <w:r w:rsidR="00017958" w:rsidRPr="00017958">
        <w:rPr>
          <w:rFonts w:ascii="Times New Roman" w:eastAsia="Times New Roman" w:hAnsi="Times New Roman" w:cs="Times New Roman"/>
          <w:vertAlign w:val="superscript"/>
          <w:lang w:val="es-ES"/>
        </w:rPr>
        <w:t>99m</w:t>
      </w:r>
      <w:r w:rsidR="00017958" w:rsidRPr="00017958">
        <w:rPr>
          <w:rFonts w:ascii="Times New Roman" w:eastAsia="Times New Roman" w:hAnsi="Times New Roman" w:cs="Times New Roman"/>
          <w:lang w:val="es-ES"/>
        </w:rPr>
        <w:t>Tc-MIBI, calidad diagnóstica, Medicina Nuclear.</w:t>
      </w:r>
    </w:p>
    <w:p w:rsidR="006B69AC" w:rsidRDefault="006B69AC" w:rsidP="006B69AC">
      <w:pPr>
        <w:spacing w:after="0"/>
        <w:jc w:val="both"/>
        <w:rPr>
          <w:rFonts w:ascii="Times New Roman" w:eastAsia="Times New Roman" w:hAnsi="Times New Roman" w:cs="Times New Roman"/>
          <w:lang w:val="es-ES"/>
        </w:rPr>
      </w:pPr>
    </w:p>
    <w:p w:rsidR="006B69AC" w:rsidRDefault="006B69AC" w:rsidP="006B69AC">
      <w:pPr>
        <w:spacing w:after="120"/>
      </w:pPr>
      <w:r>
        <w:rPr>
          <w:rFonts w:ascii="Times New Roman" w:eastAsia="Times New Roman" w:hAnsi="Times New Roman" w:cs="Times New Roman"/>
          <w:b/>
        </w:rPr>
        <w:t>Abstract:</w:t>
      </w:r>
    </w:p>
    <w:p w:rsidR="006B69AC" w:rsidRDefault="00017958" w:rsidP="00017958">
      <w:pPr>
        <w:spacing w:after="0"/>
        <w:jc w:val="both"/>
        <w:rPr>
          <w:rFonts w:ascii="Times New Roman" w:eastAsia="Times New Roman" w:hAnsi="Times New Roman" w:cs="Times New Roman"/>
        </w:rPr>
      </w:pPr>
      <w:r w:rsidRPr="00017958">
        <w:rPr>
          <w:rFonts w:ascii="Times New Roman" w:eastAsia="Times New Roman" w:hAnsi="Times New Roman" w:cs="Times New Roman"/>
        </w:rPr>
        <w:t xml:space="preserve">This work analyzes the reliability of the radiochemical purity control method of </w:t>
      </w:r>
      <w:r w:rsidRPr="001907C9">
        <w:rPr>
          <w:rFonts w:ascii="Times New Roman" w:eastAsia="Times New Roman" w:hAnsi="Times New Roman" w:cs="Times New Roman"/>
          <w:vertAlign w:val="superscript"/>
        </w:rPr>
        <w:t>99m</w:t>
      </w:r>
      <w:r w:rsidRPr="00017958">
        <w:rPr>
          <w:rFonts w:ascii="Times New Roman" w:eastAsia="Times New Roman" w:hAnsi="Times New Roman" w:cs="Times New Roman"/>
        </w:rPr>
        <w:t>Tc-MIBI used in nuclear medicine</w:t>
      </w:r>
      <w:r>
        <w:rPr>
          <w:rFonts w:ascii="Times New Roman" w:eastAsia="Times New Roman" w:hAnsi="Times New Roman" w:cs="Times New Roman"/>
        </w:rPr>
        <w:t xml:space="preserve"> </w:t>
      </w:r>
      <w:r w:rsidRPr="00017958">
        <w:rPr>
          <w:rFonts w:ascii="Times New Roman" w:eastAsia="Times New Roman" w:hAnsi="Times New Roman" w:cs="Times New Roman"/>
        </w:rPr>
        <w:t>services and the influence of the greater presence of radiochemical impurities in the diagnostic quality of the obtained</w:t>
      </w:r>
      <w:r>
        <w:rPr>
          <w:rFonts w:ascii="Times New Roman" w:eastAsia="Times New Roman" w:hAnsi="Times New Roman" w:cs="Times New Roman"/>
        </w:rPr>
        <w:t xml:space="preserve"> </w:t>
      </w:r>
      <w:r w:rsidRPr="00017958">
        <w:rPr>
          <w:rFonts w:ascii="Times New Roman" w:eastAsia="Times New Roman" w:hAnsi="Times New Roman" w:cs="Times New Roman"/>
        </w:rPr>
        <w:t>images.</w:t>
      </w:r>
    </w:p>
    <w:p w:rsidR="00017958" w:rsidRDefault="00017958" w:rsidP="00017958">
      <w:pPr>
        <w:spacing w:after="0"/>
        <w:jc w:val="both"/>
        <w:rPr>
          <w:rFonts w:ascii="Times New Roman" w:eastAsia="Times New Roman" w:hAnsi="Times New Roman" w:cs="Times New Roman"/>
        </w:rPr>
      </w:pPr>
    </w:p>
    <w:p w:rsidR="006B69AC" w:rsidRDefault="006B69AC" w:rsidP="006B69AC">
      <w:r>
        <w:rPr>
          <w:rFonts w:ascii="Times New Roman" w:eastAsia="Times New Roman" w:hAnsi="Times New Roman" w:cs="Times New Roman"/>
          <w:b/>
        </w:rPr>
        <w:t>Keywords:</w:t>
      </w:r>
      <w:r>
        <w:rPr>
          <w:rFonts w:ascii="Times New Roman" w:eastAsia="Times New Roman" w:hAnsi="Times New Roman" w:cs="Times New Roman"/>
        </w:rPr>
        <w:t xml:space="preserve"> </w:t>
      </w:r>
      <w:r w:rsidR="00017958" w:rsidRPr="00017958">
        <w:rPr>
          <w:rFonts w:ascii="Times New Roman" w:eastAsia="Times New Roman" w:hAnsi="Times New Roman" w:cs="Times New Roman"/>
        </w:rPr>
        <w:t xml:space="preserve">radiochemical purity, </w:t>
      </w:r>
      <w:r w:rsidR="00017958" w:rsidRPr="00017958">
        <w:rPr>
          <w:rFonts w:ascii="Times New Roman" w:eastAsia="Times New Roman" w:hAnsi="Times New Roman" w:cs="Times New Roman"/>
          <w:vertAlign w:val="superscript"/>
        </w:rPr>
        <w:t>99m</w:t>
      </w:r>
      <w:r w:rsidR="00017958" w:rsidRPr="00017958">
        <w:rPr>
          <w:rFonts w:ascii="Times New Roman" w:eastAsia="Times New Roman" w:hAnsi="Times New Roman" w:cs="Times New Roman"/>
        </w:rPr>
        <w:t>Tc-MIBI, diagnostic quality, Nuclear Medicine.</w:t>
      </w:r>
    </w:p>
    <w:p w:rsidR="00365105" w:rsidRPr="00DE3AD5" w:rsidRDefault="00DE3AD5" w:rsidP="00DE3AD5">
      <w:pPr>
        <w:pStyle w:val="Heading1"/>
        <w:jc w:val="both"/>
        <w:rPr>
          <w:rFonts w:ascii="Times New Roman" w:hAnsi="Times New Roman" w:cs="Times New Roman"/>
          <w:color w:val="000000" w:themeColor="text1"/>
        </w:rPr>
      </w:pPr>
      <w:r w:rsidRPr="00DE3AD5">
        <w:rPr>
          <w:rFonts w:ascii="Times New Roman" w:hAnsi="Times New Roman" w:cs="Times New Roman"/>
          <w:color w:val="000000" w:themeColor="text1"/>
        </w:rPr>
        <w:t xml:space="preserve">I. </w:t>
      </w:r>
      <w:r w:rsidR="00E408EA" w:rsidRPr="00DE3AD5">
        <w:rPr>
          <w:rFonts w:ascii="Times New Roman" w:hAnsi="Times New Roman" w:cs="Times New Roman"/>
          <w:color w:val="000000" w:themeColor="text1"/>
        </w:rPr>
        <w:t>INTRODUCCIÓN</w:t>
      </w:r>
      <w:bookmarkEnd w:id="0"/>
    </w:p>
    <w:p w:rsidR="00365105" w:rsidRPr="00DE3AD5" w:rsidRDefault="00E408EA" w:rsidP="00DE3AD5">
      <w:pPr>
        <w:pStyle w:val="FirstParagraph"/>
        <w:jc w:val="both"/>
        <w:rPr>
          <w:rFonts w:ascii="Times New Roman" w:hAnsi="Times New Roman" w:cs="Times New Roman"/>
        </w:rPr>
      </w:pPr>
      <w:r w:rsidRPr="00DE3AD5">
        <w:rPr>
          <w:rFonts w:ascii="Times New Roman" w:hAnsi="Times New Roman" w:cs="Times New Roman"/>
        </w:rPr>
        <w:t xml:space="preserve">Los radiofármacos son compuestos radiactivos que, administrados a </w:t>
      </w:r>
      <w:proofErr w:type="gramStart"/>
      <w:r w:rsidRPr="00DE3AD5">
        <w:rPr>
          <w:rFonts w:ascii="Times New Roman" w:hAnsi="Times New Roman" w:cs="Times New Roman"/>
        </w:rPr>
        <w:t>un</w:t>
      </w:r>
      <w:proofErr w:type="gramEnd"/>
      <w:r w:rsidRPr="00DE3AD5">
        <w:rPr>
          <w:rFonts w:ascii="Times New Roman" w:hAnsi="Times New Roman" w:cs="Times New Roman"/>
        </w:rPr>
        <w:t xml:space="preserve"> paciente, son útiles en el diagnóstico y tratamiento de enfermedades. La capacidad de </w:t>
      </w:r>
      <w:proofErr w:type="gramStart"/>
      <w:r w:rsidRPr="00DE3AD5">
        <w:rPr>
          <w:rFonts w:ascii="Times New Roman" w:hAnsi="Times New Roman" w:cs="Times New Roman"/>
        </w:rPr>
        <w:t>un</w:t>
      </w:r>
      <w:proofErr w:type="gramEnd"/>
      <w:r w:rsidRPr="00DE3AD5">
        <w:rPr>
          <w:rFonts w:ascii="Times New Roman" w:hAnsi="Times New Roman" w:cs="Times New Roman"/>
        </w:rPr>
        <w:t xml:space="preserve"> radiofármaco para lograr esos objetivos depende, entre otros, de su pureza </w:t>
      </w:r>
      <w:r w:rsidRPr="00DE3AD5">
        <w:rPr>
          <w:rFonts w:ascii="Times New Roman" w:hAnsi="Times New Roman" w:cs="Times New Roman"/>
        </w:rPr>
        <w:t xml:space="preserve">radioquímica (PRQ), es decir, de la adecuada radiomarcación del compuesto. </w:t>
      </w:r>
      <w:proofErr w:type="gramStart"/>
      <w:r w:rsidRPr="00DE3AD5">
        <w:rPr>
          <w:rFonts w:ascii="Times New Roman" w:hAnsi="Times New Roman" w:cs="Times New Roman"/>
        </w:rPr>
        <w:t>Existen impurezas radioquímicas que se traducen en una distribución de la marca radiactiva que difiere de la biodistribución esperada.</w:t>
      </w:r>
      <w:proofErr w:type="gramEnd"/>
      <w:r w:rsidRPr="00DE3AD5">
        <w:rPr>
          <w:rFonts w:ascii="Times New Roman" w:hAnsi="Times New Roman" w:cs="Times New Roman"/>
        </w:rPr>
        <w:t xml:space="preserve"> </w:t>
      </w:r>
      <w:r w:rsidRPr="00DE3AD5">
        <w:rPr>
          <w:rFonts w:ascii="Times New Roman" w:hAnsi="Times New Roman" w:cs="Times New Roman"/>
        </w:rPr>
        <w:lastRenderedPageBreak/>
        <w:t xml:space="preserve">Esto conduce </w:t>
      </w:r>
      <w:proofErr w:type="gramStart"/>
      <w:r w:rsidRPr="00DE3AD5">
        <w:rPr>
          <w:rFonts w:ascii="Times New Roman" w:hAnsi="Times New Roman" w:cs="Times New Roman"/>
        </w:rPr>
        <w:t>a</w:t>
      </w:r>
      <w:proofErr w:type="gramEnd"/>
      <w:r w:rsidRPr="00DE3AD5">
        <w:rPr>
          <w:rFonts w:ascii="Times New Roman" w:hAnsi="Times New Roman" w:cs="Times New Roman"/>
        </w:rPr>
        <w:t xml:space="preserve"> exposiciones dosimétricas innec</w:t>
      </w:r>
      <w:r w:rsidRPr="00DE3AD5">
        <w:rPr>
          <w:rFonts w:ascii="Times New Roman" w:hAnsi="Times New Roman" w:cs="Times New Roman"/>
        </w:rPr>
        <w:t>esarias en órganos no-blanco y a un detrimento de la calidad de las imágenes obtenidas.</w:t>
      </w:r>
    </w:p>
    <w:p w:rsidR="00365105" w:rsidRPr="00DE3AD5" w:rsidRDefault="00E408EA" w:rsidP="00DE3AD5">
      <w:pPr>
        <w:pStyle w:val="Textoindependiente"/>
        <w:jc w:val="both"/>
        <w:rPr>
          <w:rFonts w:ascii="Times New Roman" w:hAnsi="Times New Roman" w:cs="Times New Roman"/>
        </w:rPr>
      </w:pPr>
      <w:proofErr w:type="gramStart"/>
      <w:r w:rsidRPr="00DE3AD5">
        <w:rPr>
          <w:rFonts w:ascii="Times New Roman" w:hAnsi="Times New Roman" w:cs="Times New Roman"/>
        </w:rPr>
        <w:t xml:space="preserve">El radiofármaco </w:t>
      </w:r>
      <w:r w:rsidRPr="00DE3AD5">
        <w:rPr>
          <w:rFonts w:ascii="Times New Roman" w:hAnsi="Times New Roman" w:cs="Times New Roman"/>
          <w:vertAlign w:val="superscript"/>
        </w:rPr>
        <w:t>99m</w:t>
      </w:r>
      <w:r w:rsidRPr="00DE3AD5">
        <w:rPr>
          <w:rFonts w:ascii="Times New Roman" w:hAnsi="Times New Roman" w:cs="Times New Roman"/>
        </w:rPr>
        <w:t>Tc- metoxi-isobutilisonitrilo (</w:t>
      </w:r>
      <w:r w:rsidRPr="00DE3AD5">
        <w:rPr>
          <w:rFonts w:ascii="Times New Roman" w:hAnsi="Times New Roman" w:cs="Times New Roman"/>
          <w:vertAlign w:val="superscript"/>
        </w:rPr>
        <w:t>99m</w:t>
      </w:r>
      <w:r w:rsidRPr="00DE3AD5">
        <w:rPr>
          <w:rFonts w:ascii="Times New Roman" w:hAnsi="Times New Roman" w:cs="Times New Roman"/>
        </w:rPr>
        <w:t>Tc-MIBI) es el más utilizado en cardiología ya que su biodistribución es indicativa de la perfusión miocárdica, con</w:t>
      </w:r>
      <w:r w:rsidRPr="00DE3AD5">
        <w:rPr>
          <w:rFonts w:ascii="Times New Roman" w:hAnsi="Times New Roman" w:cs="Times New Roman"/>
        </w:rPr>
        <w:t>tribuyendo al diagnóstico de infartos o isquemias cardíacas.</w:t>
      </w:r>
      <w:proofErr w:type="gramEnd"/>
      <w:r w:rsidRPr="00DE3AD5">
        <w:rPr>
          <w:rFonts w:ascii="Times New Roman" w:hAnsi="Times New Roman" w:cs="Times New Roman"/>
        </w:rPr>
        <w:t xml:space="preserve"> La preparación radiofarmacéutica de </w:t>
      </w:r>
      <w:r w:rsidRPr="00DE3AD5">
        <w:rPr>
          <w:rFonts w:ascii="Times New Roman" w:hAnsi="Times New Roman" w:cs="Times New Roman"/>
          <w:vertAlign w:val="superscript"/>
        </w:rPr>
        <w:t>99m</w:t>
      </w:r>
      <w:r w:rsidRPr="00DE3AD5">
        <w:rPr>
          <w:rFonts w:ascii="Times New Roman" w:hAnsi="Times New Roman" w:cs="Times New Roman"/>
        </w:rPr>
        <w:t xml:space="preserve">Tc-MIBI es administrada por vía endovenosa y, ya sea en condiciones de reposo o de esfuerzo </w:t>
      </w:r>
      <w:proofErr w:type="gramStart"/>
      <w:r w:rsidRPr="00DE3AD5">
        <w:rPr>
          <w:rFonts w:ascii="Times New Roman" w:hAnsi="Times New Roman" w:cs="Times New Roman"/>
        </w:rPr>
        <w:t>del</w:t>
      </w:r>
      <w:proofErr w:type="gramEnd"/>
      <w:r w:rsidRPr="00DE3AD5">
        <w:rPr>
          <w:rFonts w:ascii="Times New Roman" w:hAnsi="Times New Roman" w:cs="Times New Roman"/>
        </w:rPr>
        <w:t xml:space="preserve"> paciente, se obtienen imágenes (centellogramas cardíacos) qu</w:t>
      </w:r>
      <w:r w:rsidRPr="00DE3AD5">
        <w:rPr>
          <w:rFonts w:ascii="Times New Roman" w:hAnsi="Times New Roman" w:cs="Times New Roman"/>
        </w:rPr>
        <w:t>e son procesadas y utilizadas para el diagnóstico clínico.</w:t>
      </w:r>
    </w:p>
    <w:p w:rsidR="00365105" w:rsidRPr="00DE3AD5" w:rsidRDefault="00E408EA" w:rsidP="00DE3AD5">
      <w:pPr>
        <w:pStyle w:val="Textoindependiente"/>
        <w:jc w:val="both"/>
        <w:rPr>
          <w:rFonts w:ascii="Times New Roman" w:hAnsi="Times New Roman" w:cs="Times New Roman"/>
        </w:rPr>
      </w:pPr>
      <w:r w:rsidRPr="00DE3AD5">
        <w:rPr>
          <w:rFonts w:ascii="Times New Roman" w:hAnsi="Times New Roman" w:cs="Times New Roman"/>
        </w:rPr>
        <w:t>Los controles de PRQ que deben realizarse al compuesto radiactivo antes de su administración al paciente se detallan en las Farmacopeas</w:t>
      </w:r>
      <w:proofErr w:type="gramStart"/>
      <w:r w:rsidRPr="00DE3AD5">
        <w:rPr>
          <w:rFonts w:ascii="Times New Roman" w:hAnsi="Times New Roman" w:cs="Times New Roman"/>
        </w:rPr>
        <w:t>,</w:t>
      </w:r>
      <w:r w:rsidRPr="00DE3AD5">
        <w:rPr>
          <w:rFonts w:ascii="Times New Roman" w:hAnsi="Times New Roman" w:cs="Times New Roman"/>
          <w:vertAlign w:val="superscript"/>
        </w:rPr>
        <w:t>1</w:t>
      </w:r>
      <w:proofErr w:type="gramEnd"/>
      <w:r w:rsidRPr="00DE3AD5">
        <w:rPr>
          <w:rFonts w:ascii="Times New Roman" w:hAnsi="Times New Roman" w:cs="Times New Roman"/>
        </w:rPr>
        <w:t xml:space="preserve"> documentos en los cuales se recomienda la realización de cr</w:t>
      </w:r>
      <w:r w:rsidRPr="00DE3AD5">
        <w:rPr>
          <w:rFonts w:ascii="Times New Roman" w:hAnsi="Times New Roman" w:cs="Times New Roman"/>
        </w:rPr>
        <w:t xml:space="preserve">omatografías (líquida, en papel o en fase delgada) para la adecuada visualización de las impurezas radioquímicas frecuentes en las preparaciones de </w:t>
      </w:r>
      <w:r w:rsidRPr="00DE3AD5">
        <w:rPr>
          <w:rFonts w:ascii="Times New Roman" w:hAnsi="Times New Roman" w:cs="Times New Roman"/>
          <w:vertAlign w:val="superscript"/>
        </w:rPr>
        <w:t>99m</w:t>
      </w:r>
      <w:r w:rsidRPr="00DE3AD5">
        <w:rPr>
          <w:rFonts w:ascii="Times New Roman" w:hAnsi="Times New Roman" w:cs="Times New Roman"/>
        </w:rPr>
        <w:t xml:space="preserve">Tc-MIBI. En la actualidad el método más utilizado internacionalmente para controlar de rutina la PRQ del </w:t>
      </w:r>
      <w:r w:rsidRPr="00DE3AD5">
        <w:rPr>
          <w:rFonts w:ascii="Times New Roman" w:hAnsi="Times New Roman" w:cs="Times New Roman"/>
          <w:vertAlign w:val="superscript"/>
        </w:rPr>
        <w:t>99m</w:t>
      </w:r>
      <w:r w:rsidRPr="00DE3AD5">
        <w:rPr>
          <w:rFonts w:ascii="Times New Roman" w:hAnsi="Times New Roman" w:cs="Times New Roman"/>
        </w:rPr>
        <w:t>Tc-MIBI consiste en realizar una cromatografía en capa delgada utilizando óxido de aluminio como fase estacionaria y etanol como fase móvil,</w:t>
      </w:r>
      <w:r w:rsidRPr="00DE3AD5">
        <w:rPr>
          <w:rFonts w:ascii="Times New Roman" w:hAnsi="Times New Roman" w:cs="Times New Roman"/>
          <w:vertAlign w:val="superscript"/>
        </w:rPr>
        <w:t>2</w:t>
      </w:r>
      <w:r w:rsidRPr="00DE3AD5">
        <w:rPr>
          <w:rFonts w:ascii="Times New Roman" w:hAnsi="Times New Roman" w:cs="Times New Roman"/>
        </w:rPr>
        <w:t xml:space="preserve"> aun cuando su realización toma de 30 a 40 minutos. Muchos métodos alternativos de control de PRQ de </w:t>
      </w:r>
      <w:r w:rsidRPr="00DE3AD5">
        <w:rPr>
          <w:rFonts w:ascii="Times New Roman" w:hAnsi="Times New Roman" w:cs="Times New Roman"/>
          <w:vertAlign w:val="superscript"/>
        </w:rPr>
        <w:t>99m</w:t>
      </w:r>
      <w:r w:rsidRPr="00DE3AD5">
        <w:rPr>
          <w:rFonts w:ascii="Times New Roman" w:hAnsi="Times New Roman" w:cs="Times New Roman"/>
        </w:rPr>
        <w:t xml:space="preserve">Tc-MIBI </w:t>
      </w:r>
      <w:r w:rsidRPr="00DE3AD5">
        <w:rPr>
          <w:rFonts w:ascii="Times New Roman" w:hAnsi="Times New Roman" w:cs="Times New Roman"/>
        </w:rPr>
        <w:t>se han propuesto para superar esta limitación</w:t>
      </w:r>
      <w:proofErr w:type="gramStart"/>
      <w:r w:rsidRPr="00DE3AD5">
        <w:rPr>
          <w:rFonts w:ascii="Times New Roman" w:hAnsi="Times New Roman" w:cs="Times New Roman"/>
        </w:rPr>
        <w:t>,</w:t>
      </w:r>
      <w:r w:rsidRPr="00DE3AD5">
        <w:rPr>
          <w:rFonts w:ascii="Times New Roman" w:hAnsi="Times New Roman" w:cs="Times New Roman"/>
          <w:vertAlign w:val="superscript"/>
        </w:rPr>
        <w:t>3</w:t>
      </w:r>
      <w:proofErr w:type="gramEnd"/>
      <w:r w:rsidRPr="00DE3AD5">
        <w:rPr>
          <w:rFonts w:ascii="Times New Roman" w:hAnsi="Times New Roman" w:cs="Times New Roman"/>
        </w:rPr>
        <w:t xml:space="preserve"> aunque la mayoría no han progresado debido a que los resultados de PRQ no correlacionan con el método de referencia. En los servicios de medicina nuclear de nuestro país la PRQ del </w:t>
      </w:r>
      <w:r w:rsidRPr="00DE3AD5">
        <w:rPr>
          <w:rFonts w:ascii="Times New Roman" w:hAnsi="Times New Roman" w:cs="Times New Roman"/>
          <w:vertAlign w:val="superscript"/>
        </w:rPr>
        <w:t>99m</w:t>
      </w:r>
      <w:r w:rsidRPr="00DE3AD5">
        <w:rPr>
          <w:rFonts w:ascii="Times New Roman" w:hAnsi="Times New Roman" w:cs="Times New Roman"/>
        </w:rPr>
        <w:t xml:space="preserve">Tc-MIBI se controla por </w:t>
      </w:r>
      <w:proofErr w:type="gramStart"/>
      <w:r w:rsidRPr="00DE3AD5">
        <w:rPr>
          <w:rFonts w:ascii="Times New Roman" w:hAnsi="Times New Roman" w:cs="Times New Roman"/>
        </w:rPr>
        <w:t>un</w:t>
      </w:r>
      <w:proofErr w:type="gramEnd"/>
      <w:r w:rsidRPr="00DE3AD5">
        <w:rPr>
          <w:rFonts w:ascii="Times New Roman" w:hAnsi="Times New Roman" w:cs="Times New Roman"/>
        </w:rPr>
        <w:t xml:space="preserve"> método automatizado basado en la extracción diferencial del compuesto radiomarcado y de sus impurezas radioquímicas en solventes de diferente polaridad, aunque se ha reportado que este método sobreestima la PRQ del radiofármaco.</w:t>
      </w:r>
      <w:r w:rsidRPr="00DE3AD5">
        <w:rPr>
          <w:rFonts w:ascii="Times New Roman" w:hAnsi="Times New Roman" w:cs="Times New Roman"/>
          <w:vertAlign w:val="superscript"/>
        </w:rPr>
        <w:t>4</w:t>
      </w:r>
    </w:p>
    <w:p w:rsidR="00365105" w:rsidRPr="00DE3AD5" w:rsidRDefault="00E408EA" w:rsidP="00DE3AD5">
      <w:pPr>
        <w:pStyle w:val="Textoindependiente"/>
        <w:jc w:val="both"/>
        <w:rPr>
          <w:rFonts w:ascii="Times New Roman" w:hAnsi="Times New Roman" w:cs="Times New Roman"/>
        </w:rPr>
      </w:pPr>
      <w:r w:rsidRPr="00DE3AD5">
        <w:rPr>
          <w:rFonts w:ascii="Times New Roman" w:hAnsi="Times New Roman" w:cs="Times New Roman"/>
        </w:rPr>
        <w:t>El objetivo de este tra</w:t>
      </w:r>
      <w:r w:rsidRPr="00DE3AD5">
        <w:rPr>
          <w:rFonts w:ascii="Times New Roman" w:hAnsi="Times New Roman" w:cs="Times New Roman"/>
        </w:rPr>
        <w:t xml:space="preserve">bajo es indagar si el método de control de PRQ del </w:t>
      </w:r>
      <w:r w:rsidRPr="00DE3AD5">
        <w:rPr>
          <w:rFonts w:ascii="Times New Roman" w:hAnsi="Times New Roman" w:cs="Times New Roman"/>
          <w:vertAlign w:val="superscript"/>
        </w:rPr>
        <w:t>99m</w:t>
      </w:r>
      <w:r w:rsidRPr="00DE3AD5">
        <w:rPr>
          <w:rFonts w:ascii="Times New Roman" w:hAnsi="Times New Roman" w:cs="Times New Roman"/>
        </w:rPr>
        <w:t>Tc-MIBI que se utiliza de rutina en nuestro país es confiable en comparación con un método de control de calidad basado en una cromatografía en capa delgada. Asimismo, se evaluará el alcance de las imág</w:t>
      </w:r>
      <w:r w:rsidRPr="00DE3AD5">
        <w:rPr>
          <w:rFonts w:ascii="Times New Roman" w:hAnsi="Times New Roman" w:cs="Times New Roman"/>
        </w:rPr>
        <w:t xml:space="preserve">enes obtenidas con </w:t>
      </w:r>
      <w:r w:rsidRPr="00DE3AD5">
        <w:rPr>
          <w:rFonts w:ascii="Times New Roman" w:hAnsi="Times New Roman" w:cs="Times New Roman"/>
          <w:vertAlign w:val="superscript"/>
        </w:rPr>
        <w:t>99m</w:t>
      </w:r>
      <w:r w:rsidRPr="00DE3AD5">
        <w:rPr>
          <w:rFonts w:ascii="Times New Roman" w:hAnsi="Times New Roman" w:cs="Times New Roman"/>
        </w:rPr>
        <w:t xml:space="preserve">Tc-MIBI para diagnosticar patologías cardíacas. La hipótesis de trabajo es que la realización de controles de pureza radioquímica </w:t>
      </w:r>
      <w:proofErr w:type="gramStart"/>
      <w:r w:rsidRPr="00DE3AD5">
        <w:rPr>
          <w:rFonts w:ascii="Times New Roman" w:hAnsi="Times New Roman" w:cs="Times New Roman"/>
        </w:rPr>
        <w:t>del</w:t>
      </w:r>
      <w:proofErr w:type="gramEnd"/>
      <w:r w:rsidRPr="00DE3AD5">
        <w:rPr>
          <w:rFonts w:ascii="Times New Roman" w:hAnsi="Times New Roman" w:cs="Times New Roman"/>
        </w:rPr>
        <w:t xml:space="preserve"> </w:t>
      </w:r>
      <w:r w:rsidRPr="00DE3AD5">
        <w:rPr>
          <w:rFonts w:ascii="Times New Roman" w:hAnsi="Times New Roman" w:cs="Times New Roman"/>
          <w:vertAlign w:val="superscript"/>
        </w:rPr>
        <w:t>99m</w:t>
      </w:r>
      <w:r w:rsidRPr="00DE3AD5">
        <w:rPr>
          <w:rFonts w:ascii="Times New Roman" w:hAnsi="Times New Roman" w:cs="Times New Roman"/>
        </w:rPr>
        <w:t>Tc-MIBI que arrojen resultados confiables permitirá valorar debidamente la calidad del radiofárma</w:t>
      </w:r>
      <w:r w:rsidRPr="00DE3AD5">
        <w:rPr>
          <w:rFonts w:ascii="Times New Roman" w:hAnsi="Times New Roman" w:cs="Times New Roman"/>
        </w:rPr>
        <w:t>co, optimizar la preparación del radiocompuesto y aprovechar a pleno las posibilidades diagnósticas del mismo.</w:t>
      </w:r>
    </w:p>
    <w:p w:rsidR="00365105" w:rsidRPr="000233E6" w:rsidRDefault="000233E6" w:rsidP="000233E6">
      <w:pPr>
        <w:pStyle w:val="Heading1"/>
        <w:jc w:val="both"/>
        <w:rPr>
          <w:rFonts w:ascii="Times New Roman" w:hAnsi="Times New Roman" w:cs="Times New Roman"/>
          <w:color w:val="000000" w:themeColor="text1"/>
        </w:rPr>
      </w:pPr>
      <w:bookmarkStart w:id="1" w:name="sec%3A2"/>
      <w:r w:rsidRPr="000233E6">
        <w:rPr>
          <w:rFonts w:ascii="Times New Roman" w:hAnsi="Times New Roman" w:cs="Times New Roman"/>
          <w:color w:val="000000" w:themeColor="text1"/>
        </w:rPr>
        <w:t xml:space="preserve">II. </w:t>
      </w:r>
      <w:r w:rsidR="00E408EA" w:rsidRPr="000233E6">
        <w:rPr>
          <w:rFonts w:ascii="Times New Roman" w:hAnsi="Times New Roman" w:cs="Times New Roman"/>
          <w:color w:val="000000" w:themeColor="text1"/>
        </w:rPr>
        <w:t>MÉTODOS</w:t>
      </w:r>
      <w:bookmarkEnd w:id="1"/>
    </w:p>
    <w:p w:rsidR="00365105" w:rsidRPr="000233E6" w:rsidRDefault="00E408EA" w:rsidP="000233E6">
      <w:pPr>
        <w:pStyle w:val="Heading2"/>
        <w:jc w:val="both"/>
        <w:rPr>
          <w:rFonts w:ascii="Times New Roman" w:hAnsi="Times New Roman" w:cs="Times New Roman"/>
          <w:color w:val="000000" w:themeColor="text1"/>
        </w:rPr>
      </w:pPr>
      <w:bookmarkStart w:id="2" w:name="X09198095dbddc9f550171c716d3fcf40bc5570f"/>
      <w:r w:rsidRPr="000233E6">
        <w:rPr>
          <w:rFonts w:ascii="Times New Roman" w:hAnsi="Times New Roman" w:cs="Times New Roman"/>
          <w:color w:val="000000" w:themeColor="text1"/>
        </w:rPr>
        <w:t xml:space="preserve">Controles de pureza radioquímica </w:t>
      </w:r>
      <w:proofErr w:type="gramStart"/>
      <w:r w:rsidRPr="000233E6">
        <w:rPr>
          <w:rFonts w:ascii="Times New Roman" w:hAnsi="Times New Roman" w:cs="Times New Roman"/>
          <w:color w:val="000000" w:themeColor="text1"/>
        </w:rPr>
        <w:t>del</w:t>
      </w:r>
      <w:proofErr w:type="gramEnd"/>
      <w:r w:rsidRPr="000233E6">
        <w:rPr>
          <w:rFonts w:ascii="Times New Roman" w:hAnsi="Times New Roman" w:cs="Times New Roman"/>
          <w:color w:val="000000" w:themeColor="text1"/>
        </w:rPr>
        <w:t xml:space="preserve"> radiofármaco</w:t>
      </w:r>
      <w:bookmarkEnd w:id="2"/>
    </w:p>
    <w:p w:rsidR="00365105" w:rsidRPr="000233E6" w:rsidRDefault="00E408EA" w:rsidP="000233E6">
      <w:pPr>
        <w:pStyle w:val="FirstParagraph"/>
        <w:jc w:val="both"/>
        <w:rPr>
          <w:rFonts w:ascii="Times New Roman" w:hAnsi="Times New Roman" w:cs="Times New Roman"/>
          <w:color w:val="000000" w:themeColor="text1"/>
        </w:rPr>
      </w:pPr>
      <w:r w:rsidRPr="000233E6">
        <w:rPr>
          <w:rFonts w:ascii="Times New Roman" w:hAnsi="Times New Roman" w:cs="Times New Roman"/>
          <w:color w:val="000000" w:themeColor="text1"/>
        </w:rPr>
        <w:t xml:space="preserve">Se utilizaron soluciones de </w:t>
      </w:r>
      <w:r w:rsidRPr="000233E6">
        <w:rPr>
          <w:rFonts w:ascii="Times New Roman" w:hAnsi="Times New Roman" w:cs="Times New Roman"/>
          <w:color w:val="000000" w:themeColor="text1"/>
          <w:vertAlign w:val="superscript"/>
        </w:rPr>
        <w:t>99m</w:t>
      </w:r>
      <w:r w:rsidRPr="000233E6">
        <w:rPr>
          <w:rFonts w:ascii="Times New Roman" w:hAnsi="Times New Roman" w:cs="Times New Roman"/>
          <w:color w:val="000000" w:themeColor="text1"/>
        </w:rPr>
        <w:t>Tc-MIBI de dos proveedores locales que fueron preparadas</w:t>
      </w:r>
      <w:r w:rsidRPr="000233E6">
        <w:rPr>
          <w:rFonts w:ascii="Times New Roman" w:hAnsi="Times New Roman" w:cs="Times New Roman"/>
          <w:color w:val="000000" w:themeColor="text1"/>
        </w:rPr>
        <w:t xml:space="preserve"> según las indicaciones </w:t>
      </w:r>
      <w:proofErr w:type="gramStart"/>
      <w:r w:rsidRPr="000233E6">
        <w:rPr>
          <w:rFonts w:ascii="Times New Roman" w:hAnsi="Times New Roman" w:cs="Times New Roman"/>
          <w:color w:val="000000" w:themeColor="text1"/>
        </w:rPr>
        <w:t>del</w:t>
      </w:r>
      <w:proofErr w:type="gramEnd"/>
      <w:r w:rsidRPr="000233E6">
        <w:rPr>
          <w:rFonts w:ascii="Times New Roman" w:hAnsi="Times New Roman" w:cs="Times New Roman"/>
          <w:color w:val="000000" w:themeColor="text1"/>
        </w:rPr>
        <w:t xml:space="preserve"> prospecto. La PRQ del </w:t>
      </w:r>
      <w:r w:rsidRPr="000233E6">
        <w:rPr>
          <w:rFonts w:ascii="Times New Roman" w:hAnsi="Times New Roman" w:cs="Times New Roman"/>
          <w:color w:val="000000" w:themeColor="text1"/>
          <w:vertAlign w:val="superscript"/>
        </w:rPr>
        <w:t>99m</w:t>
      </w:r>
      <w:r w:rsidRPr="000233E6">
        <w:rPr>
          <w:rFonts w:ascii="Times New Roman" w:hAnsi="Times New Roman" w:cs="Times New Roman"/>
          <w:color w:val="000000" w:themeColor="text1"/>
        </w:rPr>
        <w:t>Tc-MIBI se evaluó mediante tres procedimientos:</w:t>
      </w:r>
    </w:p>
    <w:p w:rsidR="00365105" w:rsidRPr="000233E6" w:rsidRDefault="00E408EA" w:rsidP="000233E6">
      <w:pPr>
        <w:pStyle w:val="Textoindependiente"/>
        <w:jc w:val="both"/>
        <w:rPr>
          <w:rFonts w:ascii="Times New Roman" w:hAnsi="Times New Roman" w:cs="Times New Roman"/>
          <w:color w:val="000000" w:themeColor="text1"/>
        </w:rPr>
      </w:pPr>
      <w:r w:rsidRPr="000233E6">
        <w:rPr>
          <w:rFonts w:ascii="Times New Roman" w:hAnsi="Times New Roman" w:cs="Times New Roman"/>
          <w:b/>
          <w:color w:val="000000" w:themeColor="text1"/>
        </w:rPr>
        <w:t xml:space="preserve">1- </w:t>
      </w:r>
      <w:r w:rsidRPr="000233E6">
        <w:rPr>
          <w:rFonts w:ascii="Times New Roman" w:hAnsi="Times New Roman" w:cs="Times New Roman"/>
          <w:b/>
          <w:i/>
          <w:color w:val="000000" w:themeColor="text1"/>
        </w:rPr>
        <w:t>Control de calidad automatizado</w:t>
      </w:r>
    </w:p>
    <w:p w:rsidR="00365105" w:rsidRPr="000233E6" w:rsidRDefault="00E408EA" w:rsidP="000233E6">
      <w:pPr>
        <w:pStyle w:val="Textoindependiente"/>
        <w:jc w:val="both"/>
        <w:rPr>
          <w:rFonts w:ascii="Times New Roman" w:hAnsi="Times New Roman" w:cs="Times New Roman"/>
          <w:color w:val="000000" w:themeColor="text1"/>
        </w:rPr>
      </w:pPr>
      <w:r w:rsidRPr="000233E6">
        <w:rPr>
          <w:rFonts w:ascii="Times New Roman" w:hAnsi="Times New Roman" w:cs="Times New Roman"/>
          <w:color w:val="000000" w:themeColor="text1"/>
        </w:rPr>
        <w:t xml:space="preserve">El control de calidad que se realiza de rutina consiste en colocar 1 mCi de la preparación de </w:t>
      </w:r>
      <w:r w:rsidRPr="000233E6">
        <w:rPr>
          <w:rFonts w:ascii="Times New Roman" w:hAnsi="Times New Roman" w:cs="Times New Roman"/>
          <w:color w:val="000000" w:themeColor="text1"/>
          <w:vertAlign w:val="superscript"/>
        </w:rPr>
        <w:t>99m</w:t>
      </w:r>
      <w:r w:rsidRPr="000233E6">
        <w:rPr>
          <w:rFonts w:ascii="Times New Roman" w:hAnsi="Times New Roman" w:cs="Times New Roman"/>
          <w:color w:val="000000" w:themeColor="text1"/>
        </w:rPr>
        <w:t xml:space="preserve">Tc-MIBI en </w:t>
      </w:r>
      <w:proofErr w:type="gramStart"/>
      <w:r w:rsidRPr="000233E6">
        <w:rPr>
          <w:rFonts w:ascii="Times New Roman" w:hAnsi="Times New Roman" w:cs="Times New Roman"/>
          <w:color w:val="000000" w:themeColor="text1"/>
        </w:rPr>
        <w:t>un</w:t>
      </w:r>
      <w:proofErr w:type="gramEnd"/>
      <w:r w:rsidRPr="000233E6">
        <w:rPr>
          <w:rFonts w:ascii="Times New Roman" w:hAnsi="Times New Roman" w:cs="Times New Roman"/>
          <w:color w:val="000000" w:themeColor="text1"/>
        </w:rPr>
        <w:t xml:space="preserve"> vial sumi</w:t>
      </w:r>
      <w:r w:rsidRPr="000233E6">
        <w:rPr>
          <w:rFonts w:ascii="Times New Roman" w:hAnsi="Times New Roman" w:cs="Times New Roman"/>
          <w:color w:val="000000" w:themeColor="text1"/>
        </w:rPr>
        <w:t>nistrado por el fabricante, agitar enérgicamente y dejar en reposo. Luego de observar la separación de fases, el vial se introduce en el contenedor medidor de un equipo “de mesada” y se siguen las indicaciones del manual de operaciones</w:t>
      </w:r>
      <w:r w:rsidRPr="000233E6">
        <w:rPr>
          <w:rFonts w:ascii="Times New Roman" w:hAnsi="Times New Roman" w:cs="Times New Roman"/>
          <w:color w:val="000000" w:themeColor="text1"/>
          <w:vertAlign w:val="superscript"/>
        </w:rPr>
        <w:t>5</w:t>
      </w:r>
      <w:r w:rsidRPr="000233E6">
        <w:rPr>
          <w:rFonts w:ascii="Times New Roman" w:hAnsi="Times New Roman" w:cs="Times New Roman"/>
          <w:color w:val="000000" w:themeColor="text1"/>
        </w:rPr>
        <w:t xml:space="preserve"> que arroja en la pa</w:t>
      </w:r>
      <w:r w:rsidRPr="000233E6">
        <w:rPr>
          <w:rFonts w:ascii="Times New Roman" w:hAnsi="Times New Roman" w:cs="Times New Roman"/>
          <w:color w:val="000000" w:themeColor="text1"/>
        </w:rPr>
        <w:t>ntalla un resultado de PRQ.</w:t>
      </w:r>
    </w:p>
    <w:p w:rsidR="00365105" w:rsidRPr="000233E6" w:rsidRDefault="00E408EA" w:rsidP="000233E6">
      <w:pPr>
        <w:pStyle w:val="Textoindependiente"/>
        <w:jc w:val="both"/>
        <w:rPr>
          <w:rFonts w:ascii="Times New Roman" w:hAnsi="Times New Roman" w:cs="Times New Roman"/>
          <w:color w:val="000000" w:themeColor="text1"/>
        </w:rPr>
      </w:pPr>
      <w:r w:rsidRPr="000233E6">
        <w:rPr>
          <w:rFonts w:ascii="Times New Roman" w:hAnsi="Times New Roman" w:cs="Times New Roman"/>
          <w:color w:val="000000" w:themeColor="text1"/>
        </w:rPr>
        <w:t xml:space="preserve">En este método el cálculo de la PRQ se basa en considerar que el </w:t>
      </w:r>
      <w:r w:rsidRPr="000233E6">
        <w:rPr>
          <w:rFonts w:ascii="Times New Roman" w:hAnsi="Times New Roman" w:cs="Times New Roman"/>
          <w:color w:val="000000" w:themeColor="text1"/>
          <w:vertAlign w:val="superscript"/>
        </w:rPr>
        <w:t>99m</w:t>
      </w:r>
      <w:r w:rsidRPr="000233E6">
        <w:rPr>
          <w:rFonts w:ascii="Times New Roman" w:hAnsi="Times New Roman" w:cs="Times New Roman"/>
          <w:color w:val="000000" w:themeColor="text1"/>
        </w:rPr>
        <w:t>Tc-MIBI se encuentra en la fracción clorofórmica (</w:t>
      </w:r>
      <m:oMath>
        <m:sSub>
          <m:sSubPr>
            <m:ctrlPr>
              <w:rPr>
                <w:rFonts w:ascii="Cambria Math" w:hAnsi="Times New Roman" w:cs="Times New Roman"/>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c</m:t>
            </m:r>
          </m:sub>
        </m:sSub>
      </m:oMath>
      <w:r w:rsidRPr="000233E6">
        <w:rPr>
          <w:rFonts w:ascii="Times New Roman" w:hAnsi="Times New Roman" w:cs="Times New Roman"/>
          <w:color w:val="000000" w:themeColor="text1"/>
        </w:rPr>
        <w:t>) inferior y que todas las impurezas radioquímicas contaminantes se encuentran en la fase acuosa (</w:t>
      </w:r>
      <m:oMath>
        <m:sSub>
          <m:sSubPr>
            <m:ctrlPr>
              <w:rPr>
                <w:rFonts w:ascii="Cambria Math" w:hAnsi="Times New Roman" w:cs="Times New Roman"/>
                <w:color w:val="000000" w:themeColor="text1"/>
              </w:rPr>
            </m:ctrlPr>
          </m:sSubPr>
          <m:e>
            <m:r>
              <w:rPr>
                <w:rFonts w:ascii="Cambria Math" w:hAnsi="Cambria Math" w:cs="Times New Roman"/>
                <w:color w:val="000000" w:themeColor="text1"/>
              </w:rPr>
              <m:t>F</m:t>
            </m:r>
          </m:e>
          <m:sub>
            <m:r>
              <w:rPr>
                <w:rFonts w:ascii="Cambria Math" w:hAnsi="Cambria Math" w:cs="Times New Roman"/>
                <w:color w:val="000000" w:themeColor="text1"/>
              </w:rPr>
              <m:t>a</m:t>
            </m:r>
          </m:sub>
        </m:sSub>
      </m:oMath>
      <w:r w:rsidRPr="000233E6">
        <w:rPr>
          <w:rFonts w:ascii="Times New Roman" w:hAnsi="Times New Roman" w:cs="Times New Roman"/>
          <w:color w:val="000000" w:themeColor="text1"/>
        </w:rPr>
        <w:t>) su</w:t>
      </w:r>
      <w:r w:rsidRPr="000233E6">
        <w:rPr>
          <w:rFonts w:ascii="Times New Roman" w:hAnsi="Times New Roman" w:cs="Times New Roman"/>
          <w:color w:val="000000" w:themeColor="text1"/>
        </w:rPr>
        <w:t xml:space="preserve">perior, aún cuando se ha reportado que parte de las impurezas coloidales de </w:t>
      </w:r>
      <w:r w:rsidRPr="000233E6">
        <w:rPr>
          <w:rFonts w:ascii="Times New Roman" w:hAnsi="Times New Roman" w:cs="Times New Roman"/>
          <w:color w:val="000000" w:themeColor="text1"/>
          <w:vertAlign w:val="superscript"/>
        </w:rPr>
        <w:t>99m</w:t>
      </w:r>
      <w:r w:rsidRPr="000233E6">
        <w:rPr>
          <w:rFonts w:ascii="Times New Roman" w:hAnsi="Times New Roman" w:cs="Times New Roman"/>
          <w:color w:val="000000" w:themeColor="text1"/>
        </w:rPr>
        <w:t>Tc se extraen en fase clorofórmica</w:t>
      </w:r>
      <w:proofErr w:type="gramStart"/>
      <w:r w:rsidRPr="000233E6">
        <w:rPr>
          <w:rFonts w:ascii="Times New Roman" w:hAnsi="Times New Roman" w:cs="Times New Roman"/>
          <w:color w:val="000000" w:themeColor="text1"/>
        </w:rPr>
        <w:t>:</w:t>
      </w:r>
      <w:r w:rsidRPr="000233E6">
        <w:rPr>
          <w:rFonts w:ascii="Times New Roman" w:hAnsi="Times New Roman" w:cs="Times New Roman"/>
          <w:color w:val="000000" w:themeColor="text1"/>
          <w:vertAlign w:val="superscript"/>
        </w:rPr>
        <w:t>4</w:t>
      </w:r>
      <w:proofErr w:type="gramEnd"/>
    </w:p>
    <w:p w:rsidR="00365105" w:rsidRDefault="00365105">
      <w:pPr>
        <w:pStyle w:val="Textoindependiente"/>
        <w:jc w:val="center"/>
      </w:pPr>
      <m:oMathPara>
        <m:oMathParaPr>
          <m:jc m:val="center"/>
        </m:oMathParaPr>
        <m:oMath>
          <m:m>
            <m:mPr>
              <m:mcs>
                <m:mc>
                  <m:mcPr>
                    <m:count m:val="1"/>
                    <m:mcJc m:val="center"/>
                  </m:mcPr>
                </m:mc>
              </m:mcs>
              <m:ctrlPr>
                <w:rPr>
                  <w:rFonts w:ascii="Cambria Math" w:hAnsi="Cambria Math"/>
                </w:rPr>
              </m:ctrlPr>
            </m:mPr>
            <m:mr>
              <m:e>
                <m:sSup>
                  <m:sSupPr>
                    <m:ctrlPr>
                      <w:rPr>
                        <w:rFonts w:ascii="Cambria Math" w:hAnsi="Cambria Math"/>
                      </w:rPr>
                    </m:ctrlPr>
                  </m:sSupPr>
                  <m:e>
                    <m:r>
                      <m:rPr>
                        <m:sty m:val="p"/>
                      </m:rPr>
                      <w:rPr>
                        <w:rFonts w:ascii="Cambria Math" w:hAnsi="Cambria Math"/>
                      </w:rPr>
                      <m:t>%</m:t>
                    </m:r>
                  </m:e>
                  <m:sup>
                    <m:r>
                      <w:rPr>
                        <w:rFonts w:ascii="Cambria Math" w:hAnsi="Cambria Math"/>
                      </w:rPr>
                      <m:t>99m</m:t>
                    </m:r>
                  </m:sup>
                </m:sSup>
                <m:r>
                  <w:rPr>
                    <w:rFonts w:ascii="Cambria Math" w:hAnsi="Cambria Math"/>
                  </w:rPr>
                  <m:t>Tc-MIBI=</m:t>
                </m:r>
                <m:f>
                  <m:fPr>
                    <m:ctrlPr>
                      <w:rPr>
                        <w:rFonts w:ascii="Cambria Math" w:hAnsi="Cambria Math"/>
                      </w:rPr>
                    </m:ctrlPr>
                  </m:fPr>
                  <m:num>
                    <m:r>
                      <w:rPr>
                        <w:rFonts w:ascii="Cambria Math" w:hAnsi="Cambria Math"/>
                      </w:rPr>
                      <m:t>Actividad</m:t>
                    </m:r>
                    <m:r>
                      <w:rPr>
                        <w:rFonts w:ascii="Cambria Math" w:hAnsi="Cambria Math"/>
                      </w:rPr>
                      <m:t xml:space="preserve"> </m:t>
                    </m:r>
                    <m:r>
                      <w:rPr>
                        <w:rFonts w:ascii="Cambria Math" w:hAnsi="Cambria Math"/>
                      </w:rPr>
                      <m:t>en</m:t>
                    </m:r>
                    <m: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c</m:t>
                        </m:r>
                      </m:sub>
                    </m:sSub>
                  </m:num>
                  <m:den>
                    <m:r>
                      <w:rPr>
                        <w:rFonts w:ascii="Cambria Math" w:hAnsi="Cambria Math"/>
                      </w:rPr>
                      <m:t>Actividad</m:t>
                    </m:r>
                    <m:r>
                      <w:rPr>
                        <w:rFonts w:ascii="Cambria Math" w:hAnsi="Cambria Math"/>
                      </w:rPr>
                      <m:t xml:space="preserve"> </m:t>
                    </m:r>
                    <m:r>
                      <w:rPr>
                        <w:rFonts w:ascii="Cambria Math" w:hAnsi="Cambria Math"/>
                      </w:rPr>
                      <m:t>en</m:t>
                    </m:r>
                    <m:sSub>
                      <m:sSubPr>
                        <m:ctrlPr>
                          <w:rPr>
                            <w:rFonts w:ascii="Cambria Math" w:hAnsi="Cambria Math"/>
                          </w:rPr>
                        </m:ctrlPr>
                      </m:sSubPr>
                      <m:e>
                        <m:r>
                          <w:rPr>
                            <w:rFonts w:ascii="Cambria Math" w:hAnsi="Cambria Math"/>
                          </w:rPr>
                          <m:t xml:space="preserve"> </m:t>
                        </m:r>
                        <m:r>
                          <w:rPr>
                            <w:rFonts w:ascii="Cambria Math" w:hAnsi="Cambria Math"/>
                          </w:rPr>
                          <m:t>F</m:t>
                        </m:r>
                      </m:e>
                      <m:sub>
                        <m:r>
                          <w:rPr>
                            <w:rFonts w:ascii="Cambria Math" w:hAnsi="Cambria Math"/>
                          </w:rPr>
                          <m:t>c</m:t>
                        </m:r>
                      </m:sub>
                    </m:sSub>
                    <m:r>
                      <w:rPr>
                        <w:rFonts w:ascii="Cambria Math" w:hAnsi="Cambria Math"/>
                      </w:rPr>
                      <m:t>+Actividad</m:t>
                    </m:r>
                    <m:r>
                      <w:rPr>
                        <w:rFonts w:ascii="Cambria Math" w:hAnsi="Cambria Math"/>
                      </w:rPr>
                      <m:t xml:space="preserve"> </m:t>
                    </m:r>
                    <m:r>
                      <w:rPr>
                        <w:rFonts w:ascii="Cambria Math" w:hAnsi="Cambria Math"/>
                      </w:rPr>
                      <m:t>en</m:t>
                    </m:r>
                    <m: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a</m:t>
                        </m:r>
                      </m:sub>
                    </m:sSub>
                  </m:den>
                </m:f>
                <m:r>
                  <w:rPr>
                    <w:rFonts w:ascii="Cambria Math" w:hAnsi="Cambria Math"/>
                  </w:rPr>
                  <m:t>×100.</m:t>
                </m:r>
              </m:e>
            </m:mr>
          </m:m>
        </m:oMath>
      </m:oMathPara>
    </w:p>
    <w:p w:rsidR="00365105" w:rsidRPr="000233E6" w:rsidRDefault="00E408EA" w:rsidP="000233E6">
      <w:pPr>
        <w:pStyle w:val="FirstParagraph"/>
        <w:jc w:val="both"/>
        <w:rPr>
          <w:rFonts w:ascii="Times New Roman" w:hAnsi="Times New Roman" w:cs="Times New Roman"/>
          <w:color w:val="000000" w:themeColor="text1"/>
        </w:rPr>
      </w:pPr>
      <w:r w:rsidRPr="000233E6">
        <w:rPr>
          <w:rFonts w:ascii="Times New Roman" w:hAnsi="Times New Roman" w:cs="Times New Roman"/>
          <w:color w:val="000000" w:themeColor="text1"/>
        </w:rPr>
        <w:t>El error asociado a la medida se con</w:t>
      </w:r>
      <w:r w:rsidRPr="000233E6">
        <w:rPr>
          <w:rFonts w:ascii="Times New Roman" w:hAnsi="Times New Roman" w:cs="Times New Roman"/>
          <w:color w:val="000000" w:themeColor="text1"/>
        </w:rPr>
        <w:t xml:space="preserve">sideró </w:t>
      </w:r>
      <w:proofErr w:type="gramStart"/>
      <w:r w:rsidRPr="000233E6">
        <w:rPr>
          <w:rFonts w:ascii="Times New Roman" w:hAnsi="Times New Roman" w:cs="Times New Roman"/>
          <w:color w:val="000000" w:themeColor="text1"/>
        </w:rPr>
        <w:t>como</w:t>
      </w:r>
      <w:proofErr w:type="gramEnd"/>
      <w:r w:rsidRPr="000233E6">
        <w:rPr>
          <w:rFonts w:ascii="Times New Roman" w:hAnsi="Times New Roman" w:cs="Times New Roman"/>
          <w:color w:val="000000" w:themeColor="text1"/>
        </w:rPr>
        <w:t xml:space="preserve"> la mitad de la última cifra significativa reportada por el equipo.</w:t>
      </w:r>
    </w:p>
    <w:p w:rsidR="00365105" w:rsidRPr="000233E6" w:rsidRDefault="00E408EA" w:rsidP="000233E6">
      <w:pPr>
        <w:pStyle w:val="Textoindependiente"/>
        <w:jc w:val="both"/>
        <w:rPr>
          <w:rFonts w:ascii="Times New Roman" w:hAnsi="Times New Roman" w:cs="Times New Roman"/>
          <w:color w:val="000000" w:themeColor="text1"/>
        </w:rPr>
      </w:pPr>
      <w:r w:rsidRPr="000233E6">
        <w:rPr>
          <w:rFonts w:ascii="Times New Roman" w:hAnsi="Times New Roman" w:cs="Times New Roman"/>
          <w:b/>
          <w:color w:val="000000" w:themeColor="text1"/>
        </w:rPr>
        <w:t xml:space="preserve">2 - </w:t>
      </w:r>
      <w:r w:rsidRPr="000233E6">
        <w:rPr>
          <w:rFonts w:ascii="Times New Roman" w:hAnsi="Times New Roman" w:cs="Times New Roman"/>
          <w:b/>
          <w:i/>
          <w:color w:val="000000" w:themeColor="text1"/>
        </w:rPr>
        <w:t>Control de calidad “in house”, con el mismo fundamento que el control automatizado</w:t>
      </w:r>
    </w:p>
    <w:p w:rsidR="00365105" w:rsidRPr="000233E6" w:rsidRDefault="00E408EA" w:rsidP="000233E6">
      <w:pPr>
        <w:pStyle w:val="Textoindependiente"/>
        <w:jc w:val="both"/>
        <w:rPr>
          <w:rFonts w:ascii="Times New Roman" w:hAnsi="Times New Roman" w:cs="Times New Roman"/>
          <w:color w:val="000000" w:themeColor="text1"/>
        </w:rPr>
      </w:pPr>
      <w:r w:rsidRPr="000233E6">
        <w:rPr>
          <w:rFonts w:ascii="Times New Roman" w:hAnsi="Times New Roman" w:cs="Times New Roman"/>
          <w:color w:val="000000" w:themeColor="text1"/>
        </w:rPr>
        <w:lastRenderedPageBreak/>
        <w:t xml:space="preserve">A fin de verificar si el equipo automatizado para el control de calidad del </w:t>
      </w:r>
      <w:r w:rsidRPr="000233E6">
        <w:rPr>
          <w:rFonts w:ascii="Times New Roman" w:hAnsi="Times New Roman" w:cs="Times New Roman"/>
          <w:color w:val="000000" w:themeColor="text1"/>
          <w:vertAlign w:val="superscript"/>
        </w:rPr>
        <w:t>99m</w:t>
      </w:r>
      <w:r w:rsidRPr="000233E6">
        <w:rPr>
          <w:rFonts w:ascii="Times New Roman" w:hAnsi="Times New Roman" w:cs="Times New Roman"/>
          <w:color w:val="000000" w:themeColor="text1"/>
        </w:rPr>
        <w:t>Tc-MIBI cua</w:t>
      </w:r>
      <w:r w:rsidRPr="000233E6">
        <w:rPr>
          <w:rFonts w:ascii="Times New Roman" w:hAnsi="Times New Roman" w:cs="Times New Roman"/>
          <w:color w:val="000000" w:themeColor="text1"/>
        </w:rPr>
        <w:t>ntifica adecuadamente la actividad en el vial se realizó una extracción cloroformo- agua manual, se midió la actividad en cada fase utilizando la cámara gamma del Servicio y se calculó la PRQ tal como se propone en el control de rutina.</w:t>
      </w:r>
    </w:p>
    <w:p w:rsidR="00365105" w:rsidRPr="000233E6" w:rsidRDefault="00E408EA" w:rsidP="000233E6">
      <w:pPr>
        <w:pStyle w:val="Textoindependiente"/>
        <w:jc w:val="both"/>
        <w:rPr>
          <w:rFonts w:ascii="Times New Roman" w:hAnsi="Times New Roman" w:cs="Times New Roman"/>
          <w:color w:val="000000" w:themeColor="text1"/>
        </w:rPr>
      </w:pPr>
      <w:r w:rsidRPr="000233E6">
        <w:rPr>
          <w:rFonts w:ascii="Times New Roman" w:hAnsi="Times New Roman" w:cs="Times New Roman"/>
          <w:color w:val="000000" w:themeColor="text1"/>
        </w:rPr>
        <w:t xml:space="preserve">Se colocaron en un </w:t>
      </w:r>
      <w:r w:rsidRPr="000233E6">
        <w:rPr>
          <w:rFonts w:ascii="Times New Roman" w:hAnsi="Times New Roman" w:cs="Times New Roman"/>
          <w:color w:val="000000" w:themeColor="text1"/>
        </w:rPr>
        <w:t xml:space="preserve">vial 4 ml de cloroformo, 4 ml de agua y 2 mCi de radiofármaco que se agitó enérgicamente y se dejó en reposo hasta la separación de fases. Se colocó el vial en la cámara gamma y luego se adquirió una proyección planar de </w:t>
      </w:r>
      <m:oMath>
        <m:r>
          <w:rPr>
            <w:rFonts w:ascii="Cambria Math" w:hAnsi="Times New Roman" w:cs="Times New Roman"/>
            <w:color w:val="000000" w:themeColor="text1"/>
          </w:rPr>
          <m:t>512</m:t>
        </m:r>
        <m:r>
          <w:rPr>
            <w:rFonts w:ascii="Cambria Math" w:hAnsi="Times New Roman" w:cs="Times New Roman"/>
            <w:color w:val="000000" w:themeColor="text1"/>
          </w:rPr>
          <m:t>×</m:t>
        </m:r>
        <m:r>
          <w:rPr>
            <w:rFonts w:ascii="Cambria Math" w:hAnsi="Times New Roman" w:cs="Times New Roman"/>
            <w:color w:val="000000" w:themeColor="text1"/>
          </w:rPr>
          <m:t>512</m:t>
        </m:r>
      </m:oMath>
      <w:r w:rsidRPr="000233E6">
        <w:rPr>
          <w:rFonts w:ascii="Times New Roman" w:hAnsi="Times New Roman" w:cs="Times New Roman"/>
          <w:color w:val="000000" w:themeColor="text1"/>
        </w:rPr>
        <w:t xml:space="preserve"> pixeles (Fig. </w:t>
      </w:r>
      <w:hyperlink w:anchor="fig:1Chain">
        <w:r w:rsidRPr="000233E6">
          <w:rPr>
            <w:rStyle w:val="EnlacedeInternet"/>
            <w:rFonts w:ascii="Times New Roman" w:hAnsi="Times New Roman" w:cs="Times New Roman"/>
            <w:color w:val="000000" w:themeColor="text1"/>
          </w:rPr>
          <w:t>1</w:t>
        </w:r>
      </w:hyperlink>
      <w:r w:rsidRPr="000233E6">
        <w:rPr>
          <w:rFonts w:ascii="Times New Roman" w:hAnsi="Times New Roman" w:cs="Times New Roman"/>
          <w:color w:val="000000" w:themeColor="text1"/>
        </w:rPr>
        <w:t xml:space="preserve">). Se midió la densidad de cuentas de la fase acuosa y de la clorofórmica con un ROI (región de interés, por sus siglas en inglés) cuadrado de </w:t>
      </w:r>
      <m:oMath>
        <m:r>
          <w:rPr>
            <w:rFonts w:ascii="Cambria Math" w:hAnsi="Times New Roman" w:cs="Times New Roman"/>
            <w:color w:val="000000" w:themeColor="text1"/>
          </w:rPr>
          <m:t>8</m:t>
        </m:r>
        <m:r>
          <w:rPr>
            <w:rFonts w:ascii="Cambria Math" w:hAnsi="Times New Roman" w:cs="Times New Roman"/>
            <w:color w:val="000000" w:themeColor="text1"/>
          </w:rPr>
          <m:t>×</m:t>
        </m:r>
        <m:r>
          <w:rPr>
            <w:rFonts w:ascii="Cambria Math" w:hAnsi="Times New Roman" w:cs="Times New Roman"/>
            <w:color w:val="000000" w:themeColor="text1"/>
          </w:rPr>
          <m:t>8</m:t>
        </m:r>
      </m:oMath>
      <w:r w:rsidRPr="000233E6">
        <w:rPr>
          <w:rFonts w:ascii="Times New Roman" w:hAnsi="Times New Roman" w:cs="Times New Roman"/>
          <w:color w:val="000000" w:themeColor="text1"/>
        </w:rPr>
        <w:t xml:space="preserve"> pixeles en los dos casos y se calculó la pureza radioquímica sobre las bases del cálculo del control automatizado:</w:t>
      </w:r>
    </w:p>
    <w:p w:rsidR="00365105" w:rsidRDefault="00365105">
      <w:pPr>
        <w:pStyle w:val="Textoindependiente"/>
        <w:jc w:val="center"/>
      </w:pPr>
      <m:oMathPara>
        <m:oMathParaPr>
          <m:jc m:val="center"/>
        </m:oMathParaPr>
        <m:oMath>
          <m:m>
            <m:mPr>
              <m:mcs>
                <m:mc>
                  <m:mcPr>
                    <m:count m:val="1"/>
                    <m:mcJc m:val="center"/>
                  </m:mcPr>
                </m:mc>
              </m:mcs>
              <m:ctrlPr>
                <w:rPr>
                  <w:rFonts w:ascii="Cambria Math" w:hAnsi="Cambria Math"/>
                </w:rPr>
              </m:ctrlPr>
            </m:mPr>
            <m:mr>
              <m:e>
                <m:sSup>
                  <m:sSupPr>
                    <m:ctrlPr>
                      <w:rPr>
                        <w:rFonts w:ascii="Cambria Math" w:hAnsi="Cambria Math"/>
                      </w:rPr>
                    </m:ctrlPr>
                  </m:sSupPr>
                  <m:e>
                    <m:r>
                      <m:rPr>
                        <m:sty m:val="p"/>
                      </m:rPr>
                      <w:rPr>
                        <w:rFonts w:ascii="Cambria Math" w:hAnsi="Cambria Math"/>
                      </w:rPr>
                      <m:t>%</m:t>
                    </m:r>
                  </m:e>
                  <m:sup>
                    <m:r>
                      <w:rPr>
                        <w:rFonts w:ascii="Cambria Math" w:hAnsi="Cambria Math"/>
                      </w:rPr>
                      <m:t>99m</m:t>
                    </m:r>
                  </m:sup>
                </m:sSup>
                <m:r>
                  <w:rPr>
                    <w:rFonts w:ascii="Cambria Math" w:hAnsi="Cambria Math"/>
                  </w:rPr>
                  <m:t>Tc-MIBI=</m:t>
                </m:r>
                <m:f>
                  <m:fPr>
                    <m:ctrlPr>
                      <w:rPr>
                        <w:rFonts w:ascii="Cambria Math" w:hAnsi="Cambria Math"/>
                      </w:rPr>
                    </m:ctrlPr>
                  </m:fPr>
                  <m:num>
                    <m:sSub>
                      <m:sSubPr>
                        <m:ctrlPr>
                          <w:rPr>
                            <w:rFonts w:ascii="Cambria Math" w:hAnsi="Cambria Math"/>
                          </w:rPr>
                        </m:ctrlPr>
                      </m:sSubPr>
                      <m:e>
                        <m:r>
                          <w:rPr>
                            <w:rFonts w:ascii="Cambria Math" w:hAnsi="Cambria Math"/>
                          </w:rPr>
                          <m:t>D</m:t>
                        </m:r>
                      </m:e>
                      <m:sub>
                        <m:r>
                          <w:rPr>
                            <w:rFonts w:ascii="Cambria Math" w:hAnsi="Cambria Math"/>
                          </w:rPr>
                          <m:t>1</m:t>
                        </m:r>
                      </m:sub>
                    </m:sSub>
                  </m:num>
                  <m:den>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2</m:t>
                        </m:r>
                      </m:sub>
                    </m:sSub>
                  </m:den>
                </m:f>
                <m:r>
                  <w:rPr>
                    <w:rFonts w:ascii="Cambria Math" w:hAnsi="Cambria Math"/>
                  </w:rPr>
                  <m:t>×100=</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1</m:t>
                        </m:r>
                      </m:sub>
                    </m:sSub>
                  </m:num>
                  <m:den>
                    <m:sSub>
                      <m:sSubPr>
                        <m:ctrlPr>
                          <w:rPr>
                            <w:rFonts w:ascii="Cambria Math" w:hAnsi="Cambria Math"/>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2</m:t>
                        </m:r>
                      </m:sub>
                    </m:sSub>
                  </m:den>
                </m:f>
                <m:r>
                  <w:rPr>
                    <w:rFonts w:ascii="Cambria Math" w:hAnsi="Cambria Math"/>
                  </w:rPr>
                  <m:t>×100</m:t>
                </m:r>
              </m:e>
            </m:mr>
          </m:m>
        </m:oMath>
      </m:oMathPara>
    </w:p>
    <w:p w:rsidR="00DB23B8" w:rsidRPr="00406D46" w:rsidRDefault="00365105" w:rsidP="00406D46">
      <w:pPr>
        <w:pStyle w:val="FirstParagraph"/>
        <w:jc w:val="both"/>
        <w:rPr>
          <w:rFonts w:ascii="Times New Roman" w:eastAsiaTheme="minorEastAsia" w:hAnsi="Times New Roman" w:cs="Times New Roman"/>
        </w:rPr>
      </w:pPr>
      <m:oMath>
        <m:sSub>
          <m:sSubPr>
            <m:ctrlPr>
              <w:rPr>
                <w:rFonts w:ascii="Cambria Math" w:hAnsi="Times New Roman" w:cs="Times New Roman"/>
              </w:rPr>
            </m:ctrlPr>
          </m:sSubPr>
          <m:e>
            <m:r>
              <w:rPr>
                <w:rFonts w:ascii="Cambria Math" w:hAnsi="Cambria Math" w:cs="Times New Roman"/>
              </w:rPr>
              <m:t>D</m:t>
            </m:r>
          </m:e>
          <m:sub>
            <m:r>
              <w:rPr>
                <w:rFonts w:ascii="Cambria Math" w:hAnsi="Times New Roman" w:cs="Times New Roman"/>
              </w:rPr>
              <m:t>1</m:t>
            </m:r>
          </m:sub>
        </m:sSub>
        <m:r>
          <w:rPr>
            <w:rFonts w:ascii="Cambria Math" w:hAnsi="Times New Roman" w:cs="Times New Roman"/>
          </w:rPr>
          <m:t>=</m:t>
        </m:r>
        <w:proofErr w:type="gramStart"/>
      </m:oMath>
      <w:r w:rsidR="00E408EA" w:rsidRPr="00406D46">
        <w:rPr>
          <w:rFonts w:ascii="Times New Roman" w:hAnsi="Times New Roman" w:cs="Times New Roman"/>
        </w:rPr>
        <w:t>densidad</w:t>
      </w:r>
      <w:proofErr w:type="gramEnd"/>
      <w:r w:rsidR="00E408EA" w:rsidRPr="00406D46">
        <w:rPr>
          <w:rFonts w:ascii="Times New Roman" w:hAnsi="Times New Roman" w:cs="Times New Roman"/>
        </w:rPr>
        <w:t xml:space="preserve"> de cuentas de la fase clorofórmica, </w:t>
      </w:r>
    </w:p>
    <w:p w:rsidR="00DB23B8" w:rsidRPr="00406D46" w:rsidRDefault="00365105" w:rsidP="00406D46">
      <w:pPr>
        <w:pStyle w:val="FirstParagraph"/>
        <w:jc w:val="both"/>
        <w:rPr>
          <w:rFonts w:ascii="Times New Roman" w:hAnsi="Times New Roman" w:cs="Times New Roman"/>
        </w:rPr>
      </w:pPr>
      <m:oMath>
        <m:sSub>
          <m:sSubPr>
            <m:ctrlPr>
              <w:rPr>
                <w:rFonts w:ascii="Cambria Math" w:hAnsi="Times New Roman" w:cs="Times New Roman"/>
              </w:rPr>
            </m:ctrlPr>
          </m:sSubPr>
          <m:e>
            <m:r>
              <w:rPr>
                <w:rFonts w:ascii="Cambria Math" w:hAnsi="Cambria Math" w:cs="Times New Roman"/>
              </w:rPr>
              <m:t>D</m:t>
            </m:r>
          </m:e>
          <m:sub>
            <m:r>
              <w:rPr>
                <w:rFonts w:ascii="Cambria Math" w:hAnsi="Times New Roman" w:cs="Times New Roman"/>
              </w:rPr>
              <m:t>2</m:t>
            </m:r>
          </m:sub>
        </m:sSub>
        <m:r>
          <w:rPr>
            <w:rFonts w:ascii="Cambria Math" w:hAnsi="Times New Roman" w:cs="Times New Roman"/>
          </w:rPr>
          <m:t>=</m:t>
        </m:r>
      </m:oMath>
      <w:r w:rsidR="00E408EA" w:rsidRPr="00406D46">
        <w:rPr>
          <w:rFonts w:ascii="Times New Roman" w:hAnsi="Times New Roman" w:cs="Times New Roman"/>
        </w:rPr>
        <w:t xml:space="preserve"> </w:t>
      </w:r>
      <w:proofErr w:type="gramStart"/>
      <w:r w:rsidR="00E408EA" w:rsidRPr="00406D46">
        <w:rPr>
          <w:rFonts w:ascii="Times New Roman" w:hAnsi="Times New Roman" w:cs="Times New Roman"/>
        </w:rPr>
        <w:t>densidad</w:t>
      </w:r>
      <w:proofErr w:type="gramEnd"/>
      <w:r w:rsidR="00E408EA" w:rsidRPr="00406D46">
        <w:rPr>
          <w:rFonts w:ascii="Times New Roman" w:hAnsi="Times New Roman" w:cs="Times New Roman"/>
        </w:rPr>
        <w:t xml:space="preserve"> de cuentas de la fase acuosa</w:t>
      </w:r>
      <w:r w:rsidR="00E408EA" w:rsidRPr="00406D46">
        <w:rPr>
          <w:rFonts w:ascii="Times New Roman" w:hAnsi="Times New Roman" w:cs="Times New Roman"/>
        </w:rPr>
        <w:t xml:space="preserve">, </w:t>
      </w:r>
    </w:p>
    <w:p w:rsidR="00DB23B8" w:rsidRPr="00406D46" w:rsidRDefault="00365105" w:rsidP="00406D46">
      <w:pPr>
        <w:pStyle w:val="FirstParagraph"/>
        <w:jc w:val="both"/>
        <w:rPr>
          <w:rFonts w:ascii="Times New Roman" w:hAnsi="Times New Roman" w:cs="Times New Roman"/>
        </w:rPr>
      </w:pPr>
      <m:oMath>
        <m:sSub>
          <m:sSubPr>
            <m:ctrlPr>
              <w:rPr>
                <w:rFonts w:ascii="Cambria Math" w:hAnsi="Times New Roman" w:cs="Times New Roman"/>
              </w:rPr>
            </m:ctrlPr>
          </m:sSubPr>
          <m:e>
            <m:r>
              <w:rPr>
                <w:rFonts w:ascii="Cambria Math" w:hAnsi="Cambria Math" w:cs="Times New Roman"/>
              </w:rPr>
              <m:t>N</m:t>
            </m:r>
          </m:e>
          <m:sub>
            <m:r>
              <w:rPr>
                <w:rFonts w:ascii="Cambria Math" w:hAnsi="Times New Roman" w:cs="Times New Roman"/>
              </w:rPr>
              <m:t>1</m:t>
            </m:r>
          </m:sub>
        </m:sSub>
        <m:r>
          <w:rPr>
            <w:rFonts w:ascii="Cambria Math" w:hAnsi="Times New Roman" w:cs="Times New Roman"/>
          </w:rPr>
          <m:t>=</m:t>
        </m:r>
      </m:oMath>
      <w:r w:rsidR="00E408EA" w:rsidRPr="00406D46">
        <w:rPr>
          <w:rFonts w:ascii="Times New Roman" w:hAnsi="Times New Roman" w:cs="Times New Roman"/>
        </w:rPr>
        <w:t xml:space="preserve"> </w:t>
      </w:r>
      <w:proofErr w:type="gramStart"/>
      <w:r w:rsidR="00E408EA" w:rsidRPr="00406D46">
        <w:rPr>
          <w:rFonts w:ascii="Times New Roman" w:hAnsi="Times New Roman" w:cs="Times New Roman"/>
        </w:rPr>
        <w:t>cuentas</w:t>
      </w:r>
      <w:proofErr w:type="gramEnd"/>
      <w:r w:rsidR="00E408EA" w:rsidRPr="00406D46">
        <w:rPr>
          <w:rFonts w:ascii="Times New Roman" w:hAnsi="Times New Roman" w:cs="Times New Roman"/>
        </w:rPr>
        <w:t xml:space="preserve"> de la fase clorofórmica,</w:t>
      </w:r>
    </w:p>
    <w:p w:rsidR="00365105" w:rsidRPr="00406D46" w:rsidRDefault="00E408EA" w:rsidP="00406D46">
      <w:pPr>
        <w:pStyle w:val="FirstParagraph"/>
        <w:jc w:val="both"/>
        <w:rPr>
          <w:rFonts w:ascii="Times New Roman" w:hAnsi="Times New Roman" w:cs="Times New Roman"/>
        </w:rPr>
      </w:pPr>
      <w:r w:rsidRPr="00406D46">
        <w:rPr>
          <w:rFonts w:ascii="Times New Roman" w:hAnsi="Times New Roman" w:cs="Times New Roman"/>
        </w:rPr>
        <w:t xml:space="preserve"> </w:t>
      </w:r>
      <m:oMath>
        <m:sSub>
          <m:sSubPr>
            <m:ctrlPr>
              <w:rPr>
                <w:rFonts w:ascii="Cambria Math" w:hAnsi="Times New Roman" w:cs="Times New Roman"/>
              </w:rPr>
            </m:ctrlPr>
          </m:sSubPr>
          <m:e>
            <m:r>
              <w:rPr>
                <w:rFonts w:ascii="Cambria Math" w:hAnsi="Cambria Math" w:cs="Times New Roman"/>
              </w:rPr>
              <m:t>N</m:t>
            </m:r>
          </m:e>
          <m:sub>
            <m:r>
              <w:rPr>
                <w:rFonts w:ascii="Cambria Math" w:hAnsi="Times New Roman" w:cs="Times New Roman"/>
              </w:rPr>
              <m:t>2</m:t>
            </m:r>
          </m:sub>
        </m:sSub>
        <m:r>
          <w:rPr>
            <w:rFonts w:ascii="Cambria Math" w:hAnsi="Times New Roman" w:cs="Times New Roman"/>
          </w:rPr>
          <m:t>=</m:t>
        </m:r>
      </m:oMath>
      <w:r w:rsidRPr="00406D46">
        <w:rPr>
          <w:rFonts w:ascii="Times New Roman" w:hAnsi="Times New Roman" w:cs="Times New Roman"/>
        </w:rPr>
        <w:t xml:space="preserve"> </w:t>
      </w:r>
      <w:proofErr w:type="gramStart"/>
      <w:r w:rsidRPr="00406D46">
        <w:rPr>
          <w:rFonts w:ascii="Times New Roman" w:hAnsi="Times New Roman" w:cs="Times New Roman"/>
        </w:rPr>
        <w:t>cuentas</w:t>
      </w:r>
      <w:proofErr w:type="gramEnd"/>
      <w:r w:rsidRPr="00406D46">
        <w:rPr>
          <w:rFonts w:ascii="Times New Roman" w:hAnsi="Times New Roman" w:cs="Times New Roman"/>
        </w:rPr>
        <w:t xml:space="preserve"> de la fase acuosa.</w:t>
      </w:r>
    </w:p>
    <w:p w:rsidR="00365105" w:rsidRPr="00406D46" w:rsidRDefault="00E408EA" w:rsidP="00406D46">
      <w:pPr>
        <w:pStyle w:val="Textoindependiente"/>
        <w:jc w:val="both"/>
        <w:rPr>
          <w:rFonts w:ascii="Times New Roman" w:hAnsi="Times New Roman" w:cs="Times New Roman"/>
        </w:rPr>
      </w:pPr>
      <w:r w:rsidRPr="00406D46">
        <w:rPr>
          <w:rFonts w:ascii="Times New Roman" w:hAnsi="Times New Roman" w:cs="Times New Roman"/>
        </w:rPr>
        <w:t xml:space="preserve">La incerteza asociada a la medida se considera </w:t>
      </w:r>
      <w:proofErr w:type="gramStart"/>
      <w:r w:rsidRPr="00406D46">
        <w:rPr>
          <w:rFonts w:ascii="Times New Roman" w:hAnsi="Times New Roman" w:cs="Times New Roman"/>
        </w:rPr>
        <w:t>como</w:t>
      </w:r>
      <w:proofErr w:type="gramEnd"/>
      <w:r w:rsidRPr="00406D46">
        <w:rPr>
          <w:rFonts w:ascii="Times New Roman" w:hAnsi="Times New Roman" w:cs="Times New Roman"/>
        </w:rPr>
        <w:t xml:space="preserve"> la proveniente de la desviación estadística del número de cuentas dentro del ROI.</w:t>
      </w:r>
    </w:p>
    <w:p w:rsidR="00365105" w:rsidRDefault="00E408EA" w:rsidP="001E7CDA">
      <w:pPr>
        <w:pStyle w:val="CaptionedFigure"/>
        <w:jc w:val="center"/>
      </w:pPr>
      <w:bookmarkStart w:id="3" w:name="fig%3A1Chain"/>
      <w:r>
        <w:rPr>
          <w:noProof/>
          <w:lang w:val="es-ES" w:eastAsia="es-ES"/>
        </w:rPr>
        <w:drawing>
          <wp:inline distT="0" distB="0" distL="114935" distR="114935">
            <wp:extent cx="1962150" cy="2363300"/>
            <wp:effectExtent l="19050" t="0" r="0" b="0"/>
            <wp:docPr id="1" name="Picture" descr="Recorte de la imagen planar obtenida con la cámara gamma del vial usado para la extracción cloroformo-agua manual. La escala de colores utilizada es GE_Color lineal (la fase superior del vial se observa débilmente coloreada, debido a la baja actividad en fase acu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Recorte de la imagen planar obtenida con la cámara gamma del vial usado para la extracción cloroformo-agua manual. La escala de colores utilizada es GE_Color lineal (la fase superior del vial se observa débilmente coloreada, debido a la baja actividad en fase acuosa)."/>
                    <pic:cNvPicPr>
                      <a:picLocks noChangeAspect="1" noChangeArrowheads="1"/>
                    </pic:cNvPicPr>
                  </pic:nvPicPr>
                  <pic:blipFill>
                    <a:blip r:embed="rId5"/>
                    <a:stretch>
                      <a:fillRect/>
                    </a:stretch>
                  </pic:blipFill>
                  <pic:spPr bwMode="auto">
                    <a:xfrm>
                      <a:off x="0" y="0"/>
                      <a:ext cx="1962150" cy="2363300"/>
                    </a:xfrm>
                    <a:prstGeom prst="rect">
                      <a:avLst/>
                    </a:prstGeom>
                  </pic:spPr>
                </pic:pic>
              </a:graphicData>
            </a:graphic>
          </wp:inline>
        </w:drawing>
      </w:r>
      <w:bookmarkEnd w:id="3"/>
    </w:p>
    <w:p w:rsidR="00365105" w:rsidRPr="001E7CDA" w:rsidRDefault="001E7CDA" w:rsidP="001E7CDA">
      <w:pPr>
        <w:pStyle w:val="ImageCaption"/>
        <w:jc w:val="both"/>
        <w:rPr>
          <w:rFonts w:ascii="Times New Roman" w:hAnsi="Times New Roman" w:cs="Times New Roman"/>
        </w:rPr>
      </w:pPr>
      <w:r w:rsidRPr="001E7CDA">
        <w:rPr>
          <w:rFonts w:ascii="Times New Roman" w:hAnsi="Times New Roman" w:cs="Times New Roman"/>
        </w:rPr>
        <w:t xml:space="preserve">FIG. 1: </w:t>
      </w:r>
      <w:r w:rsidR="00E408EA" w:rsidRPr="001E7CDA">
        <w:rPr>
          <w:rFonts w:ascii="Times New Roman" w:hAnsi="Times New Roman" w:cs="Times New Roman"/>
        </w:rPr>
        <w:t>Recorte de la imagen planar obtenida con la cáma</w:t>
      </w:r>
      <w:r w:rsidR="00E408EA" w:rsidRPr="001E7CDA">
        <w:rPr>
          <w:rFonts w:ascii="Times New Roman" w:hAnsi="Times New Roman" w:cs="Times New Roman"/>
        </w:rPr>
        <w:t xml:space="preserve">ra gamma </w:t>
      </w:r>
      <w:proofErr w:type="gramStart"/>
      <w:r w:rsidR="00E408EA" w:rsidRPr="001E7CDA">
        <w:rPr>
          <w:rFonts w:ascii="Times New Roman" w:hAnsi="Times New Roman" w:cs="Times New Roman"/>
        </w:rPr>
        <w:t>del</w:t>
      </w:r>
      <w:proofErr w:type="gramEnd"/>
      <w:r w:rsidR="00E408EA" w:rsidRPr="001E7CDA">
        <w:rPr>
          <w:rFonts w:ascii="Times New Roman" w:hAnsi="Times New Roman" w:cs="Times New Roman"/>
        </w:rPr>
        <w:t xml:space="preserve"> vial usado para la extracción cloroformo-agua manual. La escala de colores utilizada es GE_Color lineal (la fase superior </w:t>
      </w:r>
      <w:proofErr w:type="gramStart"/>
      <w:r w:rsidR="00E408EA" w:rsidRPr="001E7CDA">
        <w:rPr>
          <w:rFonts w:ascii="Times New Roman" w:hAnsi="Times New Roman" w:cs="Times New Roman"/>
        </w:rPr>
        <w:t>del</w:t>
      </w:r>
      <w:proofErr w:type="gramEnd"/>
      <w:r w:rsidR="00E408EA" w:rsidRPr="001E7CDA">
        <w:rPr>
          <w:rFonts w:ascii="Times New Roman" w:hAnsi="Times New Roman" w:cs="Times New Roman"/>
        </w:rPr>
        <w:t xml:space="preserve"> vial se observa débilmente coloreada, debido a la baja actividad en fase acuosa).</w:t>
      </w:r>
    </w:p>
    <w:p w:rsidR="00365105" w:rsidRPr="001E7CDA" w:rsidRDefault="00E408EA" w:rsidP="001E7CDA">
      <w:pPr>
        <w:pStyle w:val="Textoindependiente"/>
        <w:jc w:val="both"/>
        <w:rPr>
          <w:rFonts w:ascii="Times New Roman" w:hAnsi="Times New Roman" w:cs="Times New Roman"/>
        </w:rPr>
      </w:pPr>
      <w:r w:rsidRPr="001E7CDA">
        <w:rPr>
          <w:rFonts w:ascii="Times New Roman" w:hAnsi="Times New Roman" w:cs="Times New Roman"/>
          <w:b/>
        </w:rPr>
        <w:t xml:space="preserve">3 - </w:t>
      </w:r>
      <w:r w:rsidRPr="001E7CDA">
        <w:rPr>
          <w:rFonts w:ascii="Times New Roman" w:hAnsi="Times New Roman" w:cs="Times New Roman"/>
          <w:b/>
          <w:i/>
        </w:rPr>
        <w:t xml:space="preserve">Control de calidad basado en </w:t>
      </w:r>
      <w:proofErr w:type="gramStart"/>
      <w:r w:rsidRPr="001E7CDA">
        <w:rPr>
          <w:rFonts w:ascii="Times New Roman" w:hAnsi="Times New Roman" w:cs="Times New Roman"/>
          <w:b/>
          <w:i/>
        </w:rPr>
        <w:t>un</w:t>
      </w:r>
      <w:proofErr w:type="gramEnd"/>
      <w:r w:rsidRPr="001E7CDA">
        <w:rPr>
          <w:rFonts w:ascii="Times New Roman" w:hAnsi="Times New Roman" w:cs="Times New Roman"/>
          <w:b/>
          <w:i/>
        </w:rPr>
        <w:t xml:space="preserve"> método cromatográfico</w:t>
      </w:r>
    </w:p>
    <w:p w:rsidR="00365105" w:rsidRPr="001E7CDA" w:rsidRDefault="00E408EA" w:rsidP="001E7CDA">
      <w:pPr>
        <w:pStyle w:val="Textoindependiente"/>
        <w:jc w:val="both"/>
        <w:rPr>
          <w:rFonts w:ascii="Times New Roman" w:hAnsi="Times New Roman" w:cs="Times New Roman"/>
        </w:rPr>
      </w:pPr>
      <w:r w:rsidRPr="001E7CDA">
        <w:rPr>
          <w:rFonts w:ascii="Times New Roman" w:hAnsi="Times New Roman" w:cs="Times New Roman"/>
        </w:rPr>
        <w:t xml:space="preserve">Se realizó una cromatografía </w:t>
      </w:r>
      <w:r w:rsidRPr="001E7CDA">
        <w:rPr>
          <w:rFonts w:ascii="Times New Roman" w:hAnsi="Times New Roman" w:cs="Times New Roman"/>
          <w:color w:val="000000" w:themeColor="text1"/>
        </w:rPr>
        <w:t xml:space="preserve">de adsorción en capa delgada, utilizando sílica gel </w:t>
      </w:r>
      <w:proofErr w:type="gramStart"/>
      <w:r w:rsidRPr="001E7CDA">
        <w:rPr>
          <w:rFonts w:ascii="Times New Roman" w:hAnsi="Times New Roman" w:cs="Times New Roman"/>
          <w:color w:val="000000" w:themeColor="text1"/>
        </w:rPr>
        <w:t>como</w:t>
      </w:r>
      <w:proofErr w:type="gramEnd"/>
      <w:r w:rsidRPr="001E7CDA">
        <w:rPr>
          <w:rFonts w:ascii="Times New Roman" w:hAnsi="Times New Roman" w:cs="Times New Roman"/>
          <w:color w:val="000000" w:themeColor="text1"/>
        </w:rPr>
        <w:t xml:space="preserve"> fase estacionaria y soluciones de distinta polaridad (acetona y solución fisiológica) como fase móvil. La relación de frente (</w:t>
      </w:r>
      <m:oMath>
        <m:sSub>
          <m:sSubPr>
            <m:ctrlPr>
              <w:rPr>
                <w:rFonts w:ascii="Cambria Math" w:hAnsi="Times New Roman" w:cs="Times New Roman"/>
                <w:color w:val="000000" w:themeColor="text1"/>
              </w:rPr>
            </m:ctrlPr>
          </m:sSubPr>
          <m:e>
            <m:r>
              <w:rPr>
                <w:rFonts w:ascii="Cambria Math" w:hAnsi="Cambria Math" w:cs="Times New Roman"/>
                <w:color w:val="000000" w:themeColor="text1"/>
              </w:rPr>
              <m:t>R</m:t>
            </m:r>
          </m:e>
          <m:sub>
            <m:r>
              <w:rPr>
                <w:rFonts w:ascii="Cambria Math" w:hAnsi="Cambria Math" w:cs="Times New Roman"/>
                <w:color w:val="000000" w:themeColor="text1"/>
              </w:rPr>
              <m:t>f</m:t>
            </m:r>
          </m:sub>
        </m:sSub>
      </m:oMath>
      <w:r w:rsidRPr="001E7CDA">
        <w:rPr>
          <w:rFonts w:ascii="Times New Roman" w:hAnsi="Times New Roman" w:cs="Times New Roman"/>
          <w:color w:val="000000" w:themeColor="text1"/>
        </w:rPr>
        <w:t>) para dichos sis</w:t>
      </w:r>
      <w:r w:rsidRPr="001E7CDA">
        <w:rPr>
          <w:rFonts w:ascii="Times New Roman" w:hAnsi="Times New Roman" w:cs="Times New Roman"/>
          <w:color w:val="000000" w:themeColor="text1"/>
        </w:rPr>
        <w:t>temas</w:t>
      </w:r>
      <w:r w:rsidRPr="001E7CDA">
        <w:rPr>
          <w:rFonts w:ascii="Times New Roman" w:hAnsi="Times New Roman" w:cs="Times New Roman"/>
          <w:color w:val="000000" w:themeColor="text1"/>
          <w:vertAlign w:val="superscript"/>
        </w:rPr>
        <w:t>6</w:t>
      </w:r>
      <w:r w:rsidRPr="001E7CDA">
        <w:rPr>
          <w:rFonts w:ascii="Times New Roman" w:hAnsi="Times New Roman" w:cs="Times New Roman"/>
          <w:color w:val="000000" w:themeColor="text1"/>
        </w:rPr>
        <w:t xml:space="preserve"> se presenta en la Tabla </w:t>
      </w:r>
      <w:hyperlink w:anchor="tab_01">
        <w:r w:rsidRPr="001E7CDA">
          <w:rPr>
            <w:rStyle w:val="EnlacedeInternet"/>
            <w:rFonts w:ascii="Times New Roman" w:hAnsi="Times New Roman" w:cs="Times New Roman"/>
            <w:color w:val="000000" w:themeColor="text1"/>
          </w:rPr>
          <w:t>1</w:t>
        </w:r>
      </w:hyperlink>
      <w:r w:rsidRPr="001E7CDA">
        <w:rPr>
          <w:rFonts w:ascii="Times New Roman" w:hAnsi="Times New Roman" w:cs="Times New Roman"/>
          <w:color w:val="000000" w:themeColor="text1"/>
        </w:rPr>
        <w:t>.</w:t>
      </w:r>
    </w:p>
    <w:p w:rsidR="00365105" w:rsidRDefault="00BB7304" w:rsidP="001E7CDA">
      <w:pPr>
        <w:pStyle w:val="TableCaption"/>
        <w:jc w:val="both"/>
        <w:rPr>
          <w:rFonts w:ascii="Times New Roman" w:hAnsi="Times New Roman" w:cs="Times New Roman"/>
        </w:rPr>
      </w:pPr>
      <w:r>
        <w:rPr>
          <w:rFonts w:ascii="Times New Roman" w:hAnsi="Times New Roman" w:cs="Times New Roman"/>
        </w:rPr>
        <w:t xml:space="preserve">TABLA 1: </w:t>
      </w:r>
      <w:r w:rsidR="00E408EA" w:rsidRPr="001E7CDA">
        <w:rPr>
          <w:rFonts w:ascii="Times New Roman" w:hAnsi="Times New Roman" w:cs="Times New Roman"/>
        </w:rPr>
        <w:t xml:space="preserve">Relación de frentes de las distintas especies radioquímicas en TLC con sílica gel </w:t>
      </w:r>
      <w:proofErr w:type="gramStart"/>
      <w:r w:rsidR="00E408EA" w:rsidRPr="001E7CDA">
        <w:rPr>
          <w:rFonts w:ascii="Times New Roman" w:hAnsi="Times New Roman" w:cs="Times New Roman"/>
        </w:rPr>
        <w:t>como</w:t>
      </w:r>
      <w:proofErr w:type="gramEnd"/>
      <w:r w:rsidR="00E408EA" w:rsidRPr="001E7CDA">
        <w:rPr>
          <w:rFonts w:ascii="Times New Roman" w:hAnsi="Times New Roman" w:cs="Times New Roman"/>
        </w:rPr>
        <w:t xml:space="preserve"> fase estacionaria</w:t>
      </w:r>
    </w:p>
    <w:p w:rsidR="00BB7304" w:rsidRPr="001E7CDA" w:rsidRDefault="00454A8F" w:rsidP="00454A8F">
      <w:pPr>
        <w:pStyle w:val="TableCaption"/>
        <w:jc w:val="center"/>
        <w:rPr>
          <w:rFonts w:ascii="Times New Roman" w:hAnsi="Times New Roman" w:cs="Times New Roman"/>
        </w:rPr>
      </w:pPr>
      <w:r w:rsidRPr="00454A8F">
        <w:drawing>
          <wp:inline distT="0" distB="0" distL="0" distR="0">
            <wp:extent cx="3937000" cy="57261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940777" cy="573159"/>
                    </a:xfrm>
                    <a:prstGeom prst="rect">
                      <a:avLst/>
                    </a:prstGeom>
                    <a:noFill/>
                    <a:ln w="9525">
                      <a:noFill/>
                      <a:miter lim="800000"/>
                      <a:headEnd/>
                      <a:tailEnd/>
                    </a:ln>
                  </pic:spPr>
                </pic:pic>
              </a:graphicData>
            </a:graphic>
          </wp:inline>
        </w:drawing>
      </w:r>
    </w:p>
    <w:p w:rsidR="00365105" w:rsidRPr="00C726B1" w:rsidRDefault="00E408EA" w:rsidP="00C726B1">
      <w:pPr>
        <w:pStyle w:val="Textoindependiente"/>
        <w:jc w:val="both"/>
        <w:rPr>
          <w:rFonts w:ascii="Times New Roman" w:hAnsi="Times New Roman" w:cs="Times New Roman"/>
        </w:rPr>
      </w:pPr>
      <w:r w:rsidRPr="00C726B1">
        <w:rPr>
          <w:rFonts w:ascii="Times New Roman" w:hAnsi="Times New Roman" w:cs="Times New Roman"/>
        </w:rPr>
        <w:t xml:space="preserve">La fase estacionaria consistió en tiras de 1 cm </w:t>
      </w:r>
      <m:oMath>
        <m:r>
          <w:rPr>
            <w:rFonts w:ascii="Cambria Math" w:hAnsi="Times New Roman" w:cs="Times New Roman"/>
          </w:rPr>
          <m:t>×</m:t>
        </m:r>
      </m:oMath>
      <w:r w:rsidRPr="00C726B1">
        <w:rPr>
          <w:rFonts w:ascii="Times New Roman" w:hAnsi="Times New Roman" w:cs="Times New Roman"/>
        </w:rPr>
        <w:t xml:space="preserve"> 11.5 cm de sílica gel sobre soport</w:t>
      </w:r>
      <w:r w:rsidR="00C726B1">
        <w:rPr>
          <w:rFonts w:ascii="Times New Roman" w:hAnsi="Times New Roman" w:cs="Times New Roman"/>
        </w:rPr>
        <w:t>e de aluminio (cromatofolios “Merck”</w:t>
      </w:r>
      <w:r w:rsidRPr="00C726B1">
        <w:rPr>
          <w:rFonts w:ascii="Times New Roman" w:hAnsi="Times New Roman" w:cs="Times New Roman"/>
        </w:rPr>
        <w:t xml:space="preserve"> 5554 de Silicagel 60 con Indicador F254) sobre las cuales se sembró, a 1 cm de la base, una gota </w:t>
      </w:r>
      <w:r w:rsidRPr="00C726B1">
        <w:rPr>
          <w:rFonts w:ascii="Times New Roman" w:hAnsi="Times New Roman" w:cs="Times New Roman"/>
        </w:rPr>
        <w:t xml:space="preserve">de radiofármaco de </w:t>
      </w:r>
      <m:oMath>
        <m:r>
          <w:rPr>
            <w:rFonts w:ascii="Cambria Math" w:hAnsi="Times New Roman" w:cs="Times New Roman"/>
          </w:rPr>
          <m:t>≈</m:t>
        </m:r>
      </m:oMath>
      <w:r w:rsidRPr="00C726B1">
        <w:rPr>
          <w:rFonts w:ascii="Times New Roman" w:hAnsi="Times New Roman" w:cs="Times New Roman"/>
        </w:rPr>
        <w:t xml:space="preserve"> 1 mCi.</w:t>
      </w:r>
    </w:p>
    <w:p w:rsidR="00365105" w:rsidRPr="00C726B1" w:rsidRDefault="00E408EA" w:rsidP="00C726B1">
      <w:pPr>
        <w:pStyle w:val="Textoindependiente"/>
        <w:jc w:val="both"/>
        <w:rPr>
          <w:rFonts w:ascii="Times New Roman" w:hAnsi="Times New Roman" w:cs="Times New Roman"/>
        </w:rPr>
      </w:pPr>
      <w:r w:rsidRPr="00C726B1">
        <w:rPr>
          <w:rFonts w:ascii="Times New Roman" w:hAnsi="Times New Roman" w:cs="Times New Roman"/>
        </w:rPr>
        <w:lastRenderedPageBreak/>
        <w:t>Una vez que la gota se secó, las tiras se colocaron en cubas cromatográficas que contenían una columna de líquido de 0.5 cm de acetona o solución fisiológica como fase móvil, cuya atmósfera estaba saturada en el solvente de elec</w:t>
      </w:r>
      <w:r w:rsidRPr="00C726B1">
        <w:rPr>
          <w:rFonts w:ascii="Times New Roman" w:hAnsi="Times New Roman" w:cs="Times New Roman"/>
        </w:rPr>
        <w:t xml:space="preserve">ción. Luego del ascenso de la fase móvil por capilaridad y cuando el frente de solvente se encontraba a 0.5 cm del límite superior de la tira, se retiraron las tiras de las cubas. Se cortaron las tiras en cuatro fracciones iguales </w:t>
      </w:r>
      <m:oMath>
        <m:sSub>
          <m:sSubPr>
            <m:ctrlPr>
              <w:rPr>
                <w:rFonts w:ascii="Cambria Math" w:hAnsi="Times New Roman" w:cs="Times New Roman"/>
              </w:rPr>
            </m:ctrlPr>
          </m:sSubPr>
          <m:e>
            <m:r>
              <w:rPr>
                <w:rFonts w:ascii="Cambria Math" w:hAnsi="Cambria Math" w:cs="Times New Roman"/>
              </w:rPr>
              <m:t>F</m:t>
            </m:r>
          </m:e>
          <m:sub>
            <m:r>
              <w:rPr>
                <w:rFonts w:ascii="Cambria Math" w:hAnsi="Times New Roman" w:cs="Times New Roman"/>
              </w:rPr>
              <m:t>1</m:t>
            </m:r>
          </m:sub>
        </m:sSub>
      </m:oMath>
      <w:r w:rsidRPr="00C726B1">
        <w:rPr>
          <w:rFonts w:ascii="Times New Roman" w:hAnsi="Times New Roman" w:cs="Times New Roman"/>
        </w:rPr>
        <w:t xml:space="preserve"> a </w:t>
      </w:r>
      <m:oMath>
        <m:sSub>
          <m:sSubPr>
            <m:ctrlPr>
              <w:rPr>
                <w:rFonts w:ascii="Cambria Math" w:hAnsi="Times New Roman" w:cs="Times New Roman"/>
              </w:rPr>
            </m:ctrlPr>
          </m:sSubPr>
          <m:e>
            <m:r>
              <w:rPr>
                <w:rFonts w:ascii="Cambria Math" w:hAnsi="Cambria Math" w:cs="Times New Roman"/>
              </w:rPr>
              <m:t>F</m:t>
            </m:r>
          </m:e>
          <m:sub>
            <m:r>
              <w:rPr>
                <w:rFonts w:ascii="Cambria Math" w:hAnsi="Times New Roman" w:cs="Times New Roman"/>
              </w:rPr>
              <m:t>4</m:t>
            </m:r>
          </m:sub>
        </m:sSub>
      </m:oMath>
      <w:r w:rsidRPr="00C726B1">
        <w:rPr>
          <w:rFonts w:ascii="Times New Roman" w:hAnsi="Times New Roman" w:cs="Times New Roman"/>
        </w:rPr>
        <w:t xml:space="preserve"> que corresponde</w:t>
      </w:r>
      <w:r w:rsidRPr="00C726B1">
        <w:rPr>
          <w:rFonts w:ascii="Times New Roman" w:hAnsi="Times New Roman" w:cs="Times New Roman"/>
        </w:rPr>
        <w:t xml:space="preserve">n </w:t>
      </w:r>
      <w:proofErr w:type="gramStart"/>
      <w:r w:rsidRPr="00C726B1">
        <w:rPr>
          <w:rFonts w:ascii="Times New Roman" w:hAnsi="Times New Roman" w:cs="Times New Roman"/>
        </w:rPr>
        <w:t xml:space="preserve">a </w:t>
      </w:r>
      <m:oMath>
        <w:proofErr w:type="gramEnd"/>
        <m:sSub>
          <m:sSubPr>
            <m:ctrlPr>
              <w:rPr>
                <w:rFonts w:ascii="Cambria Math" w:hAnsi="Times New Roman" w:cs="Times New Roman"/>
              </w:rPr>
            </m:ctrlPr>
          </m:sSubPr>
          <m:e>
            <m:r>
              <w:rPr>
                <w:rFonts w:ascii="Cambria Math" w:hAnsi="Cambria Math" w:cs="Times New Roman"/>
              </w:rPr>
              <m:t>R</m:t>
            </m:r>
          </m:e>
          <m:sub>
            <m:r>
              <w:rPr>
                <w:rFonts w:ascii="Cambria Math" w:hAnsi="Cambria Math" w:cs="Times New Roman"/>
              </w:rPr>
              <m:t>f</m:t>
            </m:r>
          </m:sub>
        </m:sSub>
        <m:r>
          <w:rPr>
            <w:rFonts w:ascii="Cambria Math" w:hAnsi="Times New Roman" w:cs="Times New Roman"/>
          </w:rPr>
          <m:t>=0</m:t>
        </m:r>
        <m:r>
          <w:rPr>
            <w:rFonts w:ascii="Cambria Math" w:hAnsi="Times New Roman" w:cs="Times New Roman"/>
          </w:rPr>
          <m:t>-</m:t>
        </m:r>
        <m:r>
          <w:rPr>
            <w:rFonts w:ascii="Cambria Math" w:hAnsi="Times New Roman" w:cs="Times New Roman"/>
          </w:rPr>
          <m:t>0.25</m:t>
        </m:r>
      </m:oMath>
      <w:r w:rsidRPr="00C726B1">
        <w:rPr>
          <w:rFonts w:ascii="Times New Roman" w:hAnsi="Times New Roman" w:cs="Times New Roman"/>
        </w:rPr>
        <w:t xml:space="preserve">; </w:t>
      </w:r>
      <m:oMath>
        <m:sSub>
          <m:sSubPr>
            <m:ctrlPr>
              <w:rPr>
                <w:rFonts w:ascii="Cambria Math" w:hAnsi="Times New Roman" w:cs="Times New Roman"/>
              </w:rPr>
            </m:ctrlPr>
          </m:sSubPr>
          <m:e>
            <m:r>
              <w:rPr>
                <w:rFonts w:ascii="Cambria Math" w:hAnsi="Cambria Math" w:cs="Times New Roman"/>
              </w:rPr>
              <m:t>R</m:t>
            </m:r>
          </m:e>
          <m:sub>
            <m:r>
              <w:rPr>
                <w:rFonts w:ascii="Cambria Math" w:hAnsi="Cambria Math" w:cs="Times New Roman"/>
              </w:rPr>
              <m:t>f</m:t>
            </m:r>
          </m:sub>
        </m:sSub>
        <m:r>
          <w:rPr>
            <w:rFonts w:ascii="Cambria Math" w:hAnsi="Times New Roman" w:cs="Times New Roman"/>
          </w:rPr>
          <m:t>=0.25</m:t>
        </m:r>
        <m:r>
          <w:rPr>
            <w:rFonts w:ascii="Cambria Math" w:hAnsi="Times New Roman" w:cs="Times New Roman"/>
          </w:rPr>
          <m:t>-</m:t>
        </m:r>
        <m:r>
          <w:rPr>
            <w:rFonts w:ascii="Cambria Math" w:hAnsi="Times New Roman" w:cs="Times New Roman"/>
          </w:rPr>
          <m:t>0.5</m:t>
        </m:r>
      </m:oMath>
      <w:r w:rsidRPr="00C726B1">
        <w:rPr>
          <w:rFonts w:ascii="Times New Roman" w:hAnsi="Times New Roman" w:cs="Times New Roman"/>
        </w:rPr>
        <w:t xml:space="preserve">; </w:t>
      </w:r>
      <m:oMath>
        <m:sSub>
          <m:sSubPr>
            <m:ctrlPr>
              <w:rPr>
                <w:rFonts w:ascii="Cambria Math" w:hAnsi="Times New Roman" w:cs="Times New Roman"/>
              </w:rPr>
            </m:ctrlPr>
          </m:sSubPr>
          <m:e>
            <m:r>
              <w:rPr>
                <w:rFonts w:ascii="Cambria Math" w:hAnsi="Cambria Math" w:cs="Times New Roman"/>
              </w:rPr>
              <m:t>R</m:t>
            </m:r>
          </m:e>
          <m:sub>
            <m:r>
              <w:rPr>
                <w:rFonts w:ascii="Cambria Math" w:hAnsi="Cambria Math" w:cs="Times New Roman"/>
              </w:rPr>
              <m:t>f</m:t>
            </m:r>
          </m:sub>
        </m:sSub>
        <m:r>
          <w:rPr>
            <w:rFonts w:ascii="Cambria Math" w:hAnsi="Times New Roman" w:cs="Times New Roman"/>
          </w:rPr>
          <m:t>=0.5</m:t>
        </m:r>
        <m:r>
          <w:rPr>
            <w:rFonts w:ascii="Cambria Math" w:hAnsi="Times New Roman" w:cs="Times New Roman"/>
          </w:rPr>
          <m:t>-</m:t>
        </m:r>
        <m:r>
          <w:rPr>
            <w:rFonts w:ascii="Cambria Math" w:hAnsi="Times New Roman" w:cs="Times New Roman"/>
          </w:rPr>
          <m:t>0.75</m:t>
        </m:r>
      </m:oMath>
      <w:r w:rsidRPr="00C726B1">
        <w:rPr>
          <w:rFonts w:ascii="Times New Roman" w:hAnsi="Times New Roman" w:cs="Times New Roman"/>
        </w:rPr>
        <w:t xml:space="preserve"> y </w:t>
      </w:r>
      <m:oMath>
        <m:sSub>
          <m:sSubPr>
            <m:ctrlPr>
              <w:rPr>
                <w:rFonts w:ascii="Cambria Math" w:hAnsi="Times New Roman" w:cs="Times New Roman"/>
              </w:rPr>
            </m:ctrlPr>
          </m:sSubPr>
          <m:e>
            <m:r>
              <w:rPr>
                <w:rFonts w:ascii="Cambria Math" w:hAnsi="Cambria Math" w:cs="Times New Roman"/>
              </w:rPr>
              <m:t>R</m:t>
            </m:r>
          </m:e>
          <m:sub>
            <m:r>
              <w:rPr>
                <w:rFonts w:ascii="Cambria Math" w:hAnsi="Cambria Math" w:cs="Times New Roman"/>
              </w:rPr>
              <m:t>f</m:t>
            </m:r>
          </m:sub>
        </m:sSub>
        <m:r>
          <w:rPr>
            <w:rFonts w:ascii="Cambria Math" w:hAnsi="Times New Roman" w:cs="Times New Roman"/>
          </w:rPr>
          <m:t>=0.75</m:t>
        </m:r>
        <m:r>
          <w:rPr>
            <w:rFonts w:ascii="Cambria Math" w:hAnsi="Times New Roman" w:cs="Times New Roman"/>
          </w:rPr>
          <m:t>-</m:t>
        </m:r>
        <m:r>
          <w:rPr>
            <w:rFonts w:ascii="Cambria Math" w:hAnsi="Times New Roman" w:cs="Times New Roman"/>
          </w:rPr>
          <m:t>1</m:t>
        </m:r>
      </m:oMath>
      <w:r w:rsidRPr="00C726B1">
        <w:rPr>
          <w:rFonts w:ascii="Times New Roman" w:hAnsi="Times New Roman" w:cs="Times New Roman"/>
        </w:rPr>
        <w:t xml:space="preserve">, respectivamente y se midió la actividad de cada fracción con una cámara de ionización. </w:t>
      </w:r>
      <w:proofErr w:type="gramStart"/>
      <w:r w:rsidRPr="00C726B1">
        <w:rPr>
          <w:rFonts w:ascii="Times New Roman" w:hAnsi="Times New Roman" w:cs="Times New Roman"/>
        </w:rPr>
        <w:t>Cada medición se realizó 4 veces.</w:t>
      </w:r>
      <w:proofErr w:type="gramEnd"/>
    </w:p>
    <w:p w:rsidR="00365105" w:rsidRPr="00C726B1" w:rsidRDefault="00E408EA" w:rsidP="00C726B1">
      <w:pPr>
        <w:pStyle w:val="Textoindependiente"/>
        <w:jc w:val="both"/>
        <w:rPr>
          <w:rFonts w:ascii="Times New Roman" w:hAnsi="Times New Roman" w:cs="Times New Roman"/>
        </w:rPr>
      </w:pPr>
      <w:r w:rsidRPr="00C726B1">
        <w:rPr>
          <w:rFonts w:ascii="Times New Roman" w:hAnsi="Times New Roman" w:cs="Times New Roman"/>
        </w:rPr>
        <w:t>La cantidad de cada especie radioquímica en la preparación radiofarmacéuti</w:t>
      </w:r>
      <w:r w:rsidRPr="00C726B1">
        <w:rPr>
          <w:rFonts w:ascii="Times New Roman" w:hAnsi="Times New Roman" w:cs="Times New Roman"/>
        </w:rPr>
        <w:t xml:space="preserve">ca se calculó </w:t>
      </w:r>
      <w:proofErr w:type="gramStart"/>
      <w:r w:rsidRPr="00C726B1">
        <w:rPr>
          <w:rFonts w:ascii="Times New Roman" w:hAnsi="Times New Roman" w:cs="Times New Roman"/>
        </w:rPr>
        <w:t>como</w:t>
      </w:r>
      <w:proofErr w:type="gramEnd"/>
      <w:r w:rsidRPr="00C726B1">
        <w:rPr>
          <w:rFonts w:ascii="Times New Roman" w:hAnsi="Times New Roman" w:cs="Times New Roman"/>
        </w:rPr>
        <w:t>:</w:t>
      </w:r>
    </w:p>
    <w:p w:rsidR="00365105" w:rsidRDefault="00365105">
      <w:pPr>
        <w:pStyle w:val="Textoindependiente"/>
        <w:jc w:val="center"/>
      </w:pPr>
      <m:oMathPara>
        <m:oMathParaPr>
          <m:jc m:val="center"/>
        </m:oMathParaPr>
        <m:oMath>
          <m:sSup>
            <m:sSupPr>
              <m:ctrlPr>
                <w:rPr>
                  <w:rFonts w:ascii="Cambria Math" w:hAnsi="Cambria Math"/>
                </w:rPr>
              </m:ctrlPr>
            </m:sSupPr>
            <m:e>
              <m:r>
                <m:rPr>
                  <m:sty m:val="p"/>
                </m:rPr>
                <w:rPr>
                  <w:rFonts w:ascii="Cambria Math" w:hAnsi="Cambria Math"/>
                </w:rPr>
                <m:t>%</m:t>
              </m:r>
            </m:e>
            <m:sup>
              <m:r>
                <w:rPr>
                  <w:rFonts w:ascii="Cambria Math" w:hAnsi="Cambria Math"/>
                </w:rPr>
                <m:t>99m</m:t>
              </m:r>
            </m:sup>
          </m:sSup>
          <m:r>
            <w:rPr>
              <w:rFonts w:ascii="Cambria Math" w:hAnsi="Cambria Math"/>
            </w:rPr>
            <m:t>Tc</m:t>
          </m:r>
          <m:r>
            <w:rPr>
              <w:rFonts w:ascii="Cambria Math" w:hAnsi="Cambria Math"/>
            </w:rPr>
            <m:t>-</m:t>
          </m:r>
          <m:r>
            <w:rPr>
              <w:rFonts w:ascii="Cambria Math" w:hAnsi="Cambria Math"/>
            </w:rPr>
            <m:t>Tc</m:t>
          </m:r>
          <m:sSub>
            <m:sSubPr>
              <m:ctrlPr>
                <w:rPr>
                  <w:rFonts w:ascii="Cambria Math" w:hAnsi="Cambria Math"/>
                </w:rPr>
              </m:ctrlPr>
            </m:sSubPr>
            <m:e>
              <m:r>
                <w:rPr>
                  <w:rFonts w:ascii="Cambria Math" w:hAnsi="Cambria Math"/>
                </w:rPr>
                <m:t>O</m:t>
              </m:r>
            </m:e>
            <m:sub>
              <m:r>
                <w:rPr>
                  <w:rFonts w:ascii="Cambria Math" w:hAnsi="Cambria Math"/>
                </w:rPr>
                <m:t>4</m:t>
              </m:r>
            </m:sub>
          </m:sSub>
          <m: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w:rPr>
                          <w:rFonts w:ascii="Cambria Math" w:hAnsi="Cambria Math"/>
                        </w:rPr>
                        <m:t>Actividad</m:t>
                      </m:r>
                      <m:r>
                        <w:rPr>
                          <w:rFonts w:ascii="Cambria Math" w:hAnsi="Cambria Math"/>
                        </w:rPr>
                        <m:t xml:space="preserve"> </m:t>
                      </m:r>
                      <m:r>
                        <w:rPr>
                          <w:rFonts w:ascii="Cambria Math" w:hAnsi="Cambria Math"/>
                        </w:rPr>
                        <m:t>en</m:t>
                      </m:r>
                      <m:sSub>
                        <m:sSubPr>
                          <m:ctrlPr>
                            <w:rPr>
                              <w:rFonts w:ascii="Cambria Math" w:hAnsi="Cambria Math"/>
                            </w:rPr>
                          </m:ctrlPr>
                        </m:sSubPr>
                        <m:e>
                          <m:r>
                            <w:rPr>
                              <w:rFonts w:ascii="Cambria Math" w:hAnsi="Cambria Math"/>
                            </w:rPr>
                            <m:t xml:space="preserve"> </m:t>
                          </m:r>
                          <m:r>
                            <w:rPr>
                              <w:rFonts w:ascii="Cambria Math" w:hAnsi="Cambria Math"/>
                            </w:rPr>
                            <m:t>F</m:t>
                          </m:r>
                        </m:e>
                        <m:sub>
                          <m:r>
                            <w:rPr>
                              <w:rFonts w:ascii="Cambria Math" w:hAnsi="Cambria Math"/>
                            </w:rPr>
                            <m:t>4</m:t>
                          </m:r>
                        </m:sub>
                      </m:sSub>
                    </m:num>
                    <m:den>
                      <m:r>
                        <w:rPr>
                          <w:rFonts w:ascii="Cambria Math" w:hAnsi="Cambria Math"/>
                        </w:rPr>
                        <m:t>Actividad</m:t>
                      </m:r>
                      <m:r>
                        <w:rPr>
                          <w:rFonts w:ascii="Cambria Math" w:hAnsi="Cambria Math"/>
                        </w:rPr>
                        <m:t xml:space="preserve"> </m:t>
                      </m:r>
                      <m:r>
                        <w:rPr>
                          <w:rFonts w:ascii="Cambria Math" w:hAnsi="Cambria Math"/>
                        </w:rPr>
                        <m:t>total</m:t>
                      </m:r>
                    </m:den>
                  </m:f>
                </m:e>
              </m:d>
            </m:e>
            <m:sub>
              <m:r>
                <w:rPr>
                  <w:rFonts w:ascii="Cambria Math" w:hAnsi="Cambria Math"/>
                </w:rPr>
                <m:t>soluci</m:t>
              </m:r>
              <m:acc>
                <m:accPr>
                  <m:chr m:val="´"/>
                  <m:ctrlPr>
                    <w:rPr>
                      <w:rFonts w:ascii="Cambria Math" w:hAnsi="Cambria Math"/>
                    </w:rPr>
                  </m:ctrlPr>
                </m:accPr>
                <m:e>
                  <m:r>
                    <w:rPr>
                      <w:rFonts w:ascii="Cambria Math" w:hAnsi="Cambria Math"/>
                    </w:rPr>
                    <m:t>o</m:t>
                  </m:r>
                </m:e>
              </m:acc>
              <m:r>
                <w:rPr>
                  <w:rFonts w:ascii="Cambria Math" w:hAnsi="Cambria Math"/>
                </w:rPr>
                <m:t>nfisiol</m:t>
              </m:r>
              <m:acc>
                <m:accPr>
                  <m:chr m:val="´"/>
                  <m:ctrlPr>
                    <w:rPr>
                      <w:rFonts w:ascii="Cambria Math" w:hAnsi="Cambria Math"/>
                    </w:rPr>
                  </m:ctrlPr>
                </m:accPr>
                <m:e>
                  <m:r>
                    <w:rPr>
                      <w:rFonts w:ascii="Cambria Math" w:hAnsi="Cambria Math"/>
                    </w:rPr>
                    <m:t>o</m:t>
                  </m:r>
                </m:e>
              </m:acc>
              <m:r>
                <w:rPr>
                  <w:rFonts w:ascii="Cambria Math" w:hAnsi="Cambria Math"/>
                </w:rPr>
                <m:t>gica</m:t>
              </m:r>
            </m:sub>
          </m:sSub>
        </m:oMath>
      </m:oMathPara>
    </w:p>
    <w:p w:rsidR="00365105" w:rsidRDefault="00365105">
      <w:pPr>
        <w:pStyle w:val="FirstParagraph"/>
        <w:jc w:val="center"/>
      </w:pPr>
      <m:oMathPara>
        <m:oMathParaPr>
          <m:jc m:val="center"/>
        </m:oMathParaPr>
        <m:oMath>
          <m:sSup>
            <m:sSupPr>
              <m:ctrlPr>
                <w:rPr>
                  <w:rFonts w:ascii="Cambria Math" w:hAnsi="Cambria Math"/>
                </w:rPr>
              </m:ctrlPr>
            </m:sSupPr>
            <m:e>
              <m:r>
                <m:rPr>
                  <m:sty m:val="p"/>
                </m:rPr>
                <w:rPr>
                  <w:rFonts w:ascii="Cambria Math" w:hAnsi="Cambria Math"/>
                </w:rPr>
                <m:t>%</m:t>
              </m:r>
            </m:e>
            <m:sup>
              <m:r>
                <w:rPr>
                  <w:rFonts w:ascii="Cambria Math" w:hAnsi="Cambria Math"/>
                </w:rPr>
                <m:t>99m</m:t>
              </m:r>
            </m:sup>
          </m:sSup>
          <m:r>
            <w:rPr>
              <w:rFonts w:ascii="Cambria Math" w:hAnsi="Cambria Math"/>
            </w:rPr>
            <m:t>Tc</m:t>
          </m:r>
          <m:r>
            <w:rPr>
              <w:rFonts w:ascii="Cambria Math" w:hAnsi="Cambria Math"/>
            </w:rPr>
            <m:t>-</m:t>
          </m:r>
          <m:r>
            <w:rPr>
              <w:rFonts w:ascii="Cambria Math" w:hAnsi="Cambria Math"/>
            </w:rPr>
            <m:t>coloide</m:t>
          </m:r>
          <m:r>
            <w:rPr>
              <w:rFonts w:ascii="Cambria Math" w:hAnsi="Cambria Math"/>
            </w:rPr>
            <m:t>=</m:t>
          </m:r>
          <m:sSub>
            <m:sSubPr>
              <m:ctrlPr>
                <w:rPr>
                  <w:rFonts w:ascii="Cambria Math" w:hAnsi="Cambria Math"/>
                </w:rPr>
              </m:ctrlPr>
            </m:sSubPr>
            <m:e>
              <m:d>
                <m:dPr>
                  <m:ctrlPr>
                    <w:rPr>
                      <w:rFonts w:ascii="Cambria Math" w:hAnsi="Cambria Math"/>
                    </w:rPr>
                  </m:ctrlPr>
                </m:dPr>
                <m:e>
                  <m:f>
                    <m:fPr>
                      <m:ctrlPr>
                        <w:rPr>
                          <w:rFonts w:ascii="Cambria Math" w:hAnsi="Cambria Math"/>
                        </w:rPr>
                      </m:ctrlPr>
                    </m:fPr>
                    <m:num>
                      <m:r>
                        <w:rPr>
                          <w:rFonts w:ascii="Cambria Math" w:hAnsi="Cambria Math"/>
                        </w:rPr>
                        <m:t>Actividad</m:t>
                      </m:r>
                      <m:r>
                        <w:rPr>
                          <w:rFonts w:ascii="Cambria Math" w:hAnsi="Cambria Math"/>
                        </w:rPr>
                        <m:t xml:space="preserve"> </m:t>
                      </m:r>
                      <m:r>
                        <w:rPr>
                          <w:rFonts w:ascii="Cambria Math" w:hAnsi="Cambria Math"/>
                        </w:rPr>
                        <m:t>en</m:t>
                      </m:r>
                      <m:r>
                        <w:rPr>
                          <w:rFonts w:ascii="Cambria Math" w:hAnsi="Cambria Math"/>
                        </w:rPr>
                        <m:t xml:space="preserve"> </m:t>
                      </m:r>
                      <m:sSub>
                        <m:sSubPr>
                          <m:ctrlPr>
                            <w:rPr>
                              <w:rFonts w:ascii="Cambria Math" w:hAnsi="Cambria Math"/>
                            </w:rPr>
                          </m:ctrlPr>
                        </m:sSubPr>
                        <m:e>
                          <m:r>
                            <w:rPr>
                              <w:rFonts w:ascii="Cambria Math" w:hAnsi="Cambria Math"/>
                            </w:rPr>
                            <m:t>F</m:t>
                          </m:r>
                        </m:e>
                        <m:sub>
                          <m:r>
                            <w:rPr>
                              <w:rFonts w:ascii="Cambria Math" w:hAnsi="Cambria Math"/>
                            </w:rPr>
                            <m:t>1</m:t>
                          </m:r>
                        </m:sub>
                      </m:sSub>
                    </m:num>
                    <m:den>
                      <m:r>
                        <w:rPr>
                          <w:rFonts w:ascii="Cambria Math" w:hAnsi="Cambria Math"/>
                        </w:rPr>
                        <m:t>Actividad</m:t>
                      </m:r>
                      <m:r>
                        <w:rPr>
                          <w:rFonts w:ascii="Cambria Math" w:hAnsi="Cambria Math"/>
                        </w:rPr>
                        <m:t xml:space="preserve"> </m:t>
                      </m:r>
                      <m:r>
                        <w:rPr>
                          <w:rFonts w:ascii="Cambria Math" w:hAnsi="Cambria Math"/>
                        </w:rPr>
                        <m:t>total</m:t>
                      </m:r>
                    </m:den>
                  </m:f>
                </m:e>
              </m:d>
            </m:e>
            <m:sub>
              <m:r>
                <w:rPr>
                  <w:rFonts w:ascii="Cambria Math" w:hAnsi="Cambria Math"/>
                </w:rPr>
                <m:t>acetona</m:t>
              </m:r>
            </m:sub>
          </m:sSub>
        </m:oMath>
      </m:oMathPara>
    </w:p>
    <w:p w:rsidR="00365105" w:rsidRDefault="00365105">
      <w:pPr>
        <w:pStyle w:val="FirstParagraph"/>
        <w:jc w:val="center"/>
      </w:pPr>
      <m:oMathPara>
        <m:oMathParaPr>
          <m:jc m:val="center"/>
        </m:oMathParaPr>
        <m:oMath>
          <m:sSup>
            <m:sSupPr>
              <m:ctrlPr>
                <w:rPr>
                  <w:rFonts w:ascii="Cambria Math" w:hAnsi="Cambria Math"/>
                </w:rPr>
              </m:ctrlPr>
            </m:sSupPr>
            <m:e>
              <m:r>
                <m:rPr>
                  <m:sty m:val="p"/>
                </m:rPr>
                <w:rPr>
                  <w:rFonts w:ascii="Cambria Math" w:hAnsi="Cambria Math"/>
                </w:rPr>
                <m:t>%</m:t>
              </m:r>
            </m:e>
            <m:sup>
              <m:r>
                <w:rPr>
                  <w:rFonts w:ascii="Cambria Math" w:hAnsi="Cambria Math"/>
                </w:rPr>
                <m:t>99m</m:t>
              </m:r>
            </m:sup>
          </m:sSup>
          <m:r>
            <w:rPr>
              <w:rFonts w:ascii="Cambria Math" w:hAnsi="Cambria Math"/>
            </w:rPr>
            <m:t>Tc</m:t>
          </m:r>
          <m:r>
            <w:rPr>
              <w:rFonts w:ascii="Cambria Math" w:hAnsi="Cambria Math"/>
            </w:rPr>
            <m:t>-</m:t>
          </m:r>
          <m:r>
            <w:rPr>
              <w:rFonts w:ascii="Cambria Math" w:hAnsi="Cambria Math"/>
            </w:rPr>
            <m:t>MIBI</m:t>
          </m:r>
          <m:r>
            <w:rPr>
              <w:rFonts w:ascii="Cambria Math" w:hAnsi="Cambria Math"/>
            </w:rPr>
            <m:t>=100-</m:t>
          </m:r>
          <m:d>
            <m:dPr>
              <m:ctrlPr>
                <w:rPr>
                  <w:rFonts w:ascii="Cambria Math" w:hAnsi="Cambria Math"/>
                </w:rPr>
              </m:ctrlPr>
            </m:dPr>
            <m:e>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m:t>
                      </m:r>
                    </m:e>
                    <m:sup>
                      <m:r>
                        <w:rPr>
                          <w:rFonts w:ascii="Cambria Math" w:hAnsi="Cambria Math"/>
                        </w:rPr>
                        <m:t>99m</m:t>
                      </m:r>
                    </m:sup>
                  </m:sSup>
                  <m:r>
                    <w:rPr>
                      <w:rFonts w:ascii="Cambria Math" w:hAnsi="Cambria Math"/>
                    </w:rPr>
                    <m:t>Tc-Tc</m:t>
                  </m:r>
                  <m:sSub>
                    <m:sSubPr>
                      <m:ctrlPr>
                        <w:rPr>
                          <w:rFonts w:ascii="Cambria Math" w:hAnsi="Cambria Math"/>
                        </w:rPr>
                      </m:ctrlPr>
                    </m:sSubPr>
                    <m:e>
                      <m:r>
                        <w:rPr>
                          <w:rFonts w:ascii="Cambria Math" w:hAnsi="Cambria Math"/>
                        </w:rPr>
                        <m:t>O</m:t>
                      </m:r>
                    </m:e>
                    <m:sub>
                      <m:r>
                        <w:rPr>
                          <w:rFonts w:ascii="Cambria Math" w:hAnsi="Cambria Math"/>
                        </w:rPr>
                        <m:t>4</m:t>
                      </m:r>
                    </m:sub>
                  </m:sSub>
                </m:e>
              </m:d>
              <m:r>
                <w:rPr>
                  <w:rFonts w:ascii="Cambria Math" w:hAnsi="Cambria Math"/>
                </w:rPr>
                <m:t>+</m:t>
              </m:r>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m:t>
                      </m:r>
                    </m:e>
                    <m:sup>
                      <m:r>
                        <w:rPr>
                          <w:rFonts w:ascii="Cambria Math" w:hAnsi="Cambria Math"/>
                        </w:rPr>
                        <m:t>99m</m:t>
                      </m:r>
                    </m:sup>
                  </m:sSup>
                  <m:r>
                    <w:rPr>
                      <w:rFonts w:ascii="Cambria Math" w:hAnsi="Cambria Math"/>
                    </w:rPr>
                    <m:t>Tc-coloide</m:t>
                  </m:r>
                </m:e>
              </m:d>
            </m:e>
          </m:d>
          <m:r>
            <w:rPr>
              <w:rFonts w:ascii="Cambria Math" w:hAnsi="Cambria Math"/>
            </w:rPr>
            <m:t>.</m:t>
          </m:r>
        </m:oMath>
      </m:oMathPara>
    </w:p>
    <w:p w:rsidR="00365105" w:rsidRPr="006D0D14" w:rsidRDefault="00E408EA" w:rsidP="006D0D14">
      <w:pPr>
        <w:pStyle w:val="FirstParagraph"/>
        <w:jc w:val="both"/>
        <w:rPr>
          <w:rFonts w:ascii="Times New Roman" w:hAnsi="Times New Roman" w:cs="Times New Roman"/>
        </w:rPr>
      </w:pPr>
      <w:proofErr w:type="gramStart"/>
      <w:r w:rsidRPr="006D0D14">
        <w:rPr>
          <w:rFonts w:ascii="Times New Roman" w:hAnsi="Times New Roman" w:cs="Times New Roman"/>
        </w:rPr>
        <w:t>Para el cálculo de errores se tuvo en cuenta la precisión de la cámara de ionización y las variaciones estadísticas entre las distintas mediciones realizadas para cada segmento.</w:t>
      </w:r>
      <w:proofErr w:type="gramEnd"/>
      <w:r w:rsidRPr="006D0D14">
        <w:rPr>
          <w:rFonts w:ascii="Times New Roman" w:hAnsi="Times New Roman" w:cs="Times New Roman"/>
        </w:rPr>
        <w:t xml:space="preserve"> </w:t>
      </w:r>
      <w:proofErr w:type="gramStart"/>
      <w:r w:rsidRPr="006D0D14">
        <w:rPr>
          <w:rFonts w:ascii="Times New Roman" w:hAnsi="Times New Roman" w:cs="Times New Roman"/>
        </w:rPr>
        <w:t>Este valor propagado es, en todos los casos,</w:t>
      </w:r>
      <w:r w:rsidRPr="006D0D14">
        <w:rPr>
          <w:rFonts w:ascii="Times New Roman" w:hAnsi="Times New Roman" w:cs="Times New Roman"/>
        </w:rPr>
        <w:t xml:space="preserve"> menor a una unidad en la última cifra significativa reportada.</w:t>
      </w:r>
      <w:proofErr w:type="gramEnd"/>
    </w:p>
    <w:p w:rsidR="00365105" w:rsidRPr="006D0D14" w:rsidRDefault="00E408EA" w:rsidP="006D0D14">
      <w:pPr>
        <w:pStyle w:val="Heading2"/>
        <w:jc w:val="both"/>
        <w:rPr>
          <w:rFonts w:ascii="Times New Roman" w:hAnsi="Times New Roman" w:cs="Times New Roman"/>
          <w:color w:val="auto"/>
        </w:rPr>
      </w:pPr>
      <w:bookmarkStart w:id="4" w:name="adquisición-y-análisis-de-las-imágenes"/>
      <w:r w:rsidRPr="006D0D14">
        <w:rPr>
          <w:rFonts w:ascii="Times New Roman" w:hAnsi="Times New Roman" w:cs="Times New Roman"/>
          <w:color w:val="auto"/>
        </w:rPr>
        <w:t>Adquisición y análisis de las imágenes</w:t>
      </w:r>
      <w:bookmarkEnd w:id="4"/>
    </w:p>
    <w:p w:rsidR="00365105" w:rsidRPr="006D0D14" w:rsidRDefault="00E408EA" w:rsidP="006D0D14">
      <w:pPr>
        <w:pStyle w:val="FirstParagraph"/>
        <w:jc w:val="both"/>
        <w:rPr>
          <w:rFonts w:ascii="Times New Roman" w:hAnsi="Times New Roman" w:cs="Times New Roman"/>
        </w:rPr>
      </w:pPr>
      <w:r w:rsidRPr="006D0D14">
        <w:rPr>
          <w:rFonts w:ascii="Times New Roman" w:hAnsi="Times New Roman" w:cs="Times New Roman"/>
        </w:rPr>
        <w:t xml:space="preserve">Los pacientes fueron inyectados con aproximadamente 20 mCi de la preparación de </w:t>
      </w:r>
      <w:r w:rsidRPr="006D0D14">
        <w:rPr>
          <w:rFonts w:ascii="Times New Roman" w:hAnsi="Times New Roman" w:cs="Times New Roman"/>
          <w:vertAlign w:val="superscript"/>
        </w:rPr>
        <w:t>99m</w:t>
      </w:r>
      <w:r w:rsidRPr="006D0D14">
        <w:rPr>
          <w:rFonts w:ascii="Times New Roman" w:hAnsi="Times New Roman" w:cs="Times New Roman"/>
        </w:rPr>
        <w:t xml:space="preserve">Tc- MIBI. Luego de un tiempo de espera, se adquirieron imágenes de la </w:t>
      </w:r>
      <w:r w:rsidRPr="006D0D14">
        <w:rPr>
          <w:rFonts w:ascii="Times New Roman" w:hAnsi="Times New Roman" w:cs="Times New Roman"/>
        </w:rPr>
        <w:t xml:space="preserve">distribución de la radiactividad en los pacientes en una cámara Gamma Picker de doble cabezal, modelo PRISM 2000, en modo SPECT, con colimadores de alta resolución, con matriz de </w:t>
      </w:r>
      <m:oMath>
        <m:r>
          <w:rPr>
            <w:rFonts w:ascii="Cambria Math" w:hAnsi="Times New Roman" w:cs="Times New Roman"/>
          </w:rPr>
          <m:t>64</m:t>
        </m:r>
        <m:r>
          <w:rPr>
            <w:rFonts w:ascii="Cambria Math" w:hAnsi="Times New Roman" w:cs="Times New Roman"/>
          </w:rPr>
          <m:t>×</m:t>
        </m:r>
        <m:r>
          <w:rPr>
            <w:rFonts w:ascii="Cambria Math" w:hAnsi="Times New Roman" w:cs="Times New Roman"/>
          </w:rPr>
          <m:t>64</m:t>
        </m:r>
      </m:oMath>
      <w:r w:rsidRPr="006D0D14">
        <w:rPr>
          <w:rFonts w:ascii="Times New Roman" w:hAnsi="Times New Roman" w:cs="Times New Roman"/>
        </w:rPr>
        <w:t xml:space="preserve"> pixeles y zoom de 1.6.</w:t>
      </w:r>
    </w:p>
    <w:p w:rsidR="00365105" w:rsidRPr="006D0D14" w:rsidRDefault="00E408EA" w:rsidP="006D0D14">
      <w:pPr>
        <w:pStyle w:val="Textoindependiente"/>
        <w:jc w:val="both"/>
        <w:rPr>
          <w:rFonts w:ascii="Times New Roman" w:hAnsi="Times New Roman" w:cs="Times New Roman"/>
        </w:rPr>
      </w:pPr>
      <w:r w:rsidRPr="006D0D14">
        <w:rPr>
          <w:rFonts w:ascii="Times New Roman" w:hAnsi="Times New Roman" w:cs="Times New Roman"/>
        </w:rPr>
        <w:t>El análisis de las proyecciones anteriores de la</w:t>
      </w:r>
      <w:r w:rsidRPr="006D0D14">
        <w:rPr>
          <w:rFonts w:ascii="Times New Roman" w:hAnsi="Times New Roman" w:cs="Times New Roman"/>
        </w:rPr>
        <w:t>s imágenes planares (</w:t>
      </w:r>
      <w:r w:rsidRPr="006D0D14">
        <w:rPr>
          <w:rFonts w:ascii="Times New Roman" w:hAnsi="Times New Roman" w:cs="Times New Roman"/>
          <w:i/>
        </w:rPr>
        <w:t>raw data</w:t>
      </w:r>
      <w:r w:rsidRPr="006D0D14">
        <w:rPr>
          <w:rFonts w:ascii="Times New Roman" w:hAnsi="Times New Roman" w:cs="Times New Roman"/>
        </w:rPr>
        <w:t>) de los SPECT cardíacos se centró en obtener los siguientes valores:</w:t>
      </w:r>
    </w:p>
    <w:p w:rsidR="00365105" w:rsidRPr="006D0D14" w:rsidRDefault="00E408EA" w:rsidP="006D0D14">
      <w:pPr>
        <w:pStyle w:val="Textoindependiente"/>
        <w:jc w:val="both"/>
        <w:rPr>
          <w:rFonts w:ascii="Times New Roman" w:hAnsi="Times New Roman" w:cs="Times New Roman"/>
        </w:rPr>
      </w:pPr>
      <w:r w:rsidRPr="006D0D14">
        <w:rPr>
          <w:rFonts w:ascii="Times New Roman" w:hAnsi="Times New Roman" w:cs="Times New Roman"/>
        </w:rPr>
        <w:t xml:space="preserve">1- </w:t>
      </w:r>
      <w:proofErr w:type="gramStart"/>
      <w:r w:rsidRPr="006D0D14">
        <w:rPr>
          <w:rFonts w:ascii="Times New Roman" w:hAnsi="Times New Roman" w:cs="Times New Roman"/>
        </w:rPr>
        <w:t>la</w:t>
      </w:r>
      <w:proofErr w:type="gramEnd"/>
      <w:r w:rsidRPr="006D0D14">
        <w:rPr>
          <w:rFonts w:ascii="Times New Roman" w:hAnsi="Times New Roman" w:cs="Times New Roman"/>
        </w:rPr>
        <w:t xml:space="preserve"> actividad de </w:t>
      </w:r>
      <w:r w:rsidRPr="006D0D14">
        <w:rPr>
          <w:rFonts w:ascii="Times New Roman" w:hAnsi="Times New Roman" w:cs="Times New Roman"/>
          <w:vertAlign w:val="superscript"/>
        </w:rPr>
        <w:t>99m</w:t>
      </w:r>
      <w:r w:rsidRPr="006D0D14">
        <w:rPr>
          <w:rFonts w:ascii="Times New Roman" w:hAnsi="Times New Roman" w:cs="Times New Roman"/>
        </w:rPr>
        <w:t>Tc en el píxel de actividad máxima del ventrículo izquierdo (a fin de determinar la validez estadística del estudio).</w:t>
      </w:r>
    </w:p>
    <w:p w:rsidR="00365105" w:rsidRPr="006D0D14" w:rsidRDefault="00E408EA" w:rsidP="006D0D14">
      <w:pPr>
        <w:pStyle w:val="Textoindependiente"/>
        <w:jc w:val="both"/>
        <w:rPr>
          <w:rFonts w:ascii="Times New Roman" w:hAnsi="Times New Roman" w:cs="Times New Roman"/>
        </w:rPr>
      </w:pPr>
      <w:r w:rsidRPr="006D0D14">
        <w:rPr>
          <w:rFonts w:ascii="Times New Roman" w:hAnsi="Times New Roman" w:cs="Times New Roman"/>
        </w:rPr>
        <w:t xml:space="preserve">2- </w:t>
      </w:r>
      <w:proofErr w:type="gramStart"/>
      <w:r w:rsidRPr="006D0D14">
        <w:rPr>
          <w:rFonts w:ascii="Times New Roman" w:hAnsi="Times New Roman" w:cs="Times New Roman"/>
        </w:rPr>
        <w:t>la</w:t>
      </w:r>
      <w:proofErr w:type="gramEnd"/>
      <w:r w:rsidRPr="006D0D14">
        <w:rPr>
          <w:rFonts w:ascii="Times New Roman" w:hAnsi="Times New Roman" w:cs="Times New Roman"/>
        </w:rPr>
        <w:t xml:space="preserve"> relación de</w:t>
      </w:r>
      <w:r w:rsidRPr="006D0D14">
        <w:rPr>
          <w:rFonts w:ascii="Times New Roman" w:hAnsi="Times New Roman" w:cs="Times New Roman"/>
        </w:rPr>
        <w:t xml:space="preserve"> densidad de cuentas de </w:t>
      </w:r>
      <w:r w:rsidRPr="006D0D14">
        <w:rPr>
          <w:rFonts w:ascii="Times New Roman" w:hAnsi="Times New Roman" w:cs="Times New Roman"/>
          <w:vertAlign w:val="superscript"/>
        </w:rPr>
        <w:t>99m</w:t>
      </w:r>
      <w:r w:rsidRPr="006D0D14">
        <w:rPr>
          <w:rFonts w:ascii="Times New Roman" w:hAnsi="Times New Roman" w:cs="Times New Roman"/>
        </w:rPr>
        <w:t xml:space="preserve">Tc localizada en corazón respecto a la localizada en el hígado (órgano que se solapa parcialmente con el corazón en la imagen planar anterior). Con </w:t>
      </w:r>
      <w:proofErr w:type="gramStart"/>
      <w:r w:rsidRPr="006D0D14">
        <w:rPr>
          <w:rFonts w:ascii="Times New Roman" w:hAnsi="Times New Roman" w:cs="Times New Roman"/>
        </w:rPr>
        <w:t>este</w:t>
      </w:r>
      <w:proofErr w:type="gramEnd"/>
      <w:r w:rsidRPr="006D0D14">
        <w:rPr>
          <w:rFonts w:ascii="Times New Roman" w:hAnsi="Times New Roman" w:cs="Times New Roman"/>
        </w:rPr>
        <w:t xml:space="preserve"> objetivo se aplicaron dos ROIs cuadrados de 6 pixeles de lado (uno en cada ó</w:t>
      </w:r>
      <w:r w:rsidRPr="006D0D14">
        <w:rPr>
          <w:rFonts w:ascii="Times New Roman" w:hAnsi="Times New Roman" w:cs="Times New Roman"/>
        </w:rPr>
        <w:t>rgano de interés) y se obtuvieron el número medio de cuentas en hígado y corazón con sus respectivas desviaciones.</w:t>
      </w:r>
    </w:p>
    <w:p w:rsidR="00365105" w:rsidRPr="003D2A65" w:rsidRDefault="006D0D14" w:rsidP="003D2A65">
      <w:pPr>
        <w:pStyle w:val="Heading1"/>
        <w:jc w:val="both"/>
        <w:rPr>
          <w:rFonts w:ascii="Times New Roman" w:hAnsi="Times New Roman" w:cs="Times New Roman"/>
          <w:color w:val="auto"/>
        </w:rPr>
      </w:pPr>
      <w:bookmarkStart w:id="5" w:name="sec%3A3"/>
      <w:r w:rsidRPr="003D2A65">
        <w:rPr>
          <w:rFonts w:ascii="Times New Roman" w:hAnsi="Times New Roman" w:cs="Times New Roman"/>
          <w:color w:val="auto"/>
        </w:rPr>
        <w:t xml:space="preserve">III. </w:t>
      </w:r>
      <w:r w:rsidR="00E408EA" w:rsidRPr="003D2A65">
        <w:rPr>
          <w:rFonts w:ascii="Times New Roman" w:hAnsi="Times New Roman" w:cs="Times New Roman"/>
          <w:color w:val="auto"/>
        </w:rPr>
        <w:t>RESULTADOS Y DISCUSIÓN</w:t>
      </w:r>
      <w:bookmarkEnd w:id="5"/>
    </w:p>
    <w:p w:rsidR="00365105" w:rsidRPr="003D2A65" w:rsidRDefault="00E408EA" w:rsidP="003D2A65">
      <w:pPr>
        <w:pStyle w:val="Heading2"/>
        <w:jc w:val="both"/>
        <w:rPr>
          <w:rFonts w:ascii="Times New Roman" w:hAnsi="Times New Roman" w:cs="Times New Roman"/>
          <w:color w:val="auto"/>
        </w:rPr>
      </w:pPr>
      <w:bookmarkStart w:id="6" w:name="X8f0127814d7882d62016ddef7ab39745bb0d5ea"/>
      <w:r w:rsidRPr="003D2A65">
        <w:rPr>
          <w:rFonts w:ascii="Times New Roman" w:hAnsi="Times New Roman" w:cs="Times New Roman"/>
          <w:color w:val="auto"/>
        </w:rPr>
        <w:t xml:space="preserve">Confiabilidad de la lectura de actividad en cada fase </w:t>
      </w:r>
      <w:proofErr w:type="gramStart"/>
      <w:r w:rsidRPr="003D2A65">
        <w:rPr>
          <w:rFonts w:ascii="Times New Roman" w:hAnsi="Times New Roman" w:cs="Times New Roman"/>
          <w:color w:val="auto"/>
        </w:rPr>
        <w:t>del</w:t>
      </w:r>
      <w:proofErr w:type="gramEnd"/>
      <w:r w:rsidRPr="003D2A65">
        <w:rPr>
          <w:rFonts w:ascii="Times New Roman" w:hAnsi="Times New Roman" w:cs="Times New Roman"/>
          <w:color w:val="auto"/>
        </w:rPr>
        <w:t xml:space="preserve"> método automatizado</w:t>
      </w:r>
      <w:bookmarkEnd w:id="6"/>
    </w:p>
    <w:p w:rsidR="00365105" w:rsidRPr="003D2A65" w:rsidRDefault="00E408EA" w:rsidP="003D2A65">
      <w:pPr>
        <w:pStyle w:val="FirstParagraph"/>
        <w:jc w:val="both"/>
        <w:rPr>
          <w:rFonts w:ascii="Times New Roman" w:hAnsi="Times New Roman" w:cs="Times New Roman"/>
        </w:rPr>
      </w:pPr>
      <w:proofErr w:type="gramStart"/>
      <w:r w:rsidRPr="003D2A65">
        <w:rPr>
          <w:rFonts w:ascii="Times New Roman" w:hAnsi="Times New Roman" w:cs="Times New Roman"/>
        </w:rPr>
        <w:t xml:space="preserve">En la Tabla </w:t>
      </w:r>
      <w:hyperlink w:anchor="tab_02">
        <w:r w:rsidRPr="003D2A65">
          <w:rPr>
            <w:rStyle w:val="EnlacedeInternet"/>
            <w:rFonts w:ascii="Times New Roman" w:hAnsi="Times New Roman" w:cs="Times New Roman"/>
            <w:color w:val="auto"/>
          </w:rPr>
          <w:t>2</w:t>
        </w:r>
      </w:hyperlink>
      <w:r w:rsidRPr="003D2A65">
        <w:rPr>
          <w:rFonts w:ascii="Times New Roman" w:hAnsi="Times New Roman" w:cs="Times New Roman"/>
        </w:rPr>
        <w:t xml:space="preserve"> se presentan los porcentajes de actividad de </w:t>
      </w:r>
      <w:r w:rsidRPr="003D2A65">
        <w:rPr>
          <w:rFonts w:ascii="Times New Roman" w:hAnsi="Times New Roman" w:cs="Times New Roman"/>
          <w:vertAlign w:val="superscript"/>
        </w:rPr>
        <w:t>99m</w:t>
      </w:r>
      <w:r w:rsidRPr="003D2A65">
        <w:rPr>
          <w:rFonts w:ascii="Times New Roman" w:hAnsi="Times New Roman" w:cs="Times New Roman"/>
        </w:rPr>
        <w:t xml:space="preserve">Tc en cada fase luego de la extracción cloroformo- agua de las preparaciones de </w:t>
      </w:r>
      <w:r w:rsidRPr="003D2A65">
        <w:rPr>
          <w:rFonts w:ascii="Times New Roman" w:hAnsi="Times New Roman" w:cs="Times New Roman"/>
          <w:vertAlign w:val="superscript"/>
        </w:rPr>
        <w:t>99m</w:t>
      </w:r>
      <w:r w:rsidRPr="003D2A65">
        <w:rPr>
          <w:rFonts w:ascii="Times New Roman" w:hAnsi="Times New Roman" w:cs="Times New Roman"/>
        </w:rPr>
        <w:t>Tc-MIBI.</w:t>
      </w:r>
      <w:proofErr w:type="gramEnd"/>
    </w:p>
    <w:p w:rsidR="00365105" w:rsidRDefault="003D2A65" w:rsidP="003D2A65">
      <w:pPr>
        <w:pStyle w:val="TableCaption"/>
        <w:jc w:val="both"/>
        <w:rPr>
          <w:rFonts w:ascii="Times New Roman" w:hAnsi="Times New Roman" w:cs="Times New Roman"/>
        </w:rPr>
      </w:pPr>
      <w:r>
        <w:rPr>
          <w:rFonts w:ascii="Times New Roman" w:hAnsi="Times New Roman" w:cs="Times New Roman"/>
        </w:rPr>
        <w:lastRenderedPageBreak/>
        <w:t xml:space="preserve">TABLA 2: </w:t>
      </w:r>
      <w:r w:rsidR="00E408EA" w:rsidRPr="003D2A65">
        <w:rPr>
          <w:rFonts w:ascii="Times New Roman" w:hAnsi="Times New Roman" w:cs="Times New Roman"/>
        </w:rPr>
        <w:t>Porcentaje de actividad en fase clorofórmica y acuosa luego de una lectura por el método automatizado o en cámara g</w:t>
      </w:r>
      <w:r w:rsidR="00E408EA" w:rsidRPr="003D2A65">
        <w:rPr>
          <w:rFonts w:ascii="Times New Roman" w:hAnsi="Times New Roman" w:cs="Times New Roman"/>
        </w:rPr>
        <w:t>amma.</w:t>
      </w:r>
    </w:p>
    <w:p w:rsidR="003D2A65" w:rsidRPr="003D2A65" w:rsidRDefault="00B72EFD" w:rsidP="00B72EFD">
      <w:pPr>
        <w:pStyle w:val="TableCaption"/>
        <w:jc w:val="center"/>
        <w:rPr>
          <w:rFonts w:ascii="Times New Roman" w:hAnsi="Times New Roman" w:cs="Times New Roman"/>
        </w:rPr>
      </w:pPr>
      <w:r w:rsidRPr="00B72EFD">
        <w:drawing>
          <wp:inline distT="0" distB="0" distL="0" distR="0">
            <wp:extent cx="3784600" cy="1379571"/>
            <wp:effectExtent l="1905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789558" cy="1381378"/>
                    </a:xfrm>
                    <a:prstGeom prst="rect">
                      <a:avLst/>
                    </a:prstGeom>
                    <a:noFill/>
                    <a:ln w="9525">
                      <a:noFill/>
                      <a:miter lim="800000"/>
                      <a:headEnd/>
                      <a:tailEnd/>
                    </a:ln>
                  </pic:spPr>
                </pic:pic>
              </a:graphicData>
            </a:graphic>
          </wp:inline>
        </w:drawing>
      </w:r>
    </w:p>
    <w:p w:rsidR="00365105" w:rsidRPr="00B72EFD" w:rsidRDefault="00E408EA" w:rsidP="00B72EFD">
      <w:pPr>
        <w:pStyle w:val="Textoindependiente"/>
        <w:jc w:val="both"/>
        <w:rPr>
          <w:rFonts w:ascii="Times New Roman" w:hAnsi="Times New Roman" w:cs="Times New Roman"/>
        </w:rPr>
      </w:pPr>
      <w:r w:rsidRPr="00B72EFD">
        <w:rPr>
          <w:rFonts w:ascii="Times New Roman" w:hAnsi="Times New Roman" w:cs="Times New Roman"/>
        </w:rPr>
        <w:t xml:space="preserve">Si bien la lectura de las cuentas radiactivas en fase clorofórmica que arroja la cámara </w:t>
      </w:r>
      <w:r w:rsidRPr="00B72EFD">
        <w:rPr>
          <w:rFonts w:ascii="Times New Roman" w:hAnsi="Times New Roman" w:cs="Times New Roman"/>
        </w:rPr>
        <w:t>gamma (</w:t>
      </w:r>
      <m:oMath>
        <m:r>
          <w:rPr>
            <w:rFonts w:ascii="Cambria Math" w:hAnsi="Times New Roman" w:cs="Times New Roman"/>
          </w:rPr>
          <m:t>92</m:t>
        </m:r>
        <m:r>
          <w:rPr>
            <w:rFonts w:ascii="Cambria Math" w:hAnsi="Times New Roman" w:cs="Times New Roman"/>
          </w:rPr>
          <m:t>-</m:t>
        </m:r>
        <m:r>
          <w:rPr>
            <w:rFonts w:ascii="Cambria Math" w:hAnsi="Times New Roman" w:cs="Times New Roman"/>
          </w:rPr>
          <m:t>95</m:t>
        </m:r>
        <m:r>
          <m:rPr>
            <m:lit/>
            <m:nor/>
          </m:rPr>
          <w:rPr>
            <w:rFonts w:ascii="Times New Roman" w:hAnsi="Times New Roman" w:cs="Times New Roman"/>
          </w:rPr>
          <m:t>%</m:t>
        </m:r>
      </m:oMath>
      <w:r w:rsidRPr="00B72EFD">
        <w:rPr>
          <w:rFonts w:ascii="Times New Roman" w:hAnsi="Times New Roman" w:cs="Times New Roman"/>
        </w:rPr>
        <w:t xml:space="preserve">) es ligeramente inferior a lo que reporta el método automatizado (99%), puede considerarse que la lectura de </w:t>
      </w:r>
      <w:proofErr w:type="gramStart"/>
      <w:r w:rsidRPr="00B72EFD">
        <w:rPr>
          <w:rFonts w:ascii="Times New Roman" w:hAnsi="Times New Roman" w:cs="Times New Roman"/>
        </w:rPr>
        <w:t>este</w:t>
      </w:r>
      <w:proofErr w:type="gramEnd"/>
      <w:r w:rsidRPr="00B72EFD">
        <w:rPr>
          <w:rFonts w:ascii="Times New Roman" w:hAnsi="Times New Roman" w:cs="Times New Roman"/>
        </w:rPr>
        <w:t xml:space="preserve"> último es confiable. </w:t>
      </w:r>
      <w:proofErr w:type="gramStart"/>
      <w:r w:rsidRPr="00B72EFD">
        <w:rPr>
          <w:rFonts w:ascii="Times New Roman" w:hAnsi="Times New Roman" w:cs="Times New Roman"/>
        </w:rPr>
        <w:t>De allí que en la siguiente sección sólo se comparan resultados de los controles de calidad por el método 1</w:t>
      </w:r>
      <w:r w:rsidRPr="00B72EFD">
        <w:rPr>
          <w:rFonts w:ascii="Times New Roman" w:hAnsi="Times New Roman" w:cs="Times New Roman"/>
        </w:rPr>
        <w:t xml:space="preserve"> y el método 3.</w:t>
      </w:r>
      <w:proofErr w:type="gramEnd"/>
    </w:p>
    <w:p w:rsidR="00365105" w:rsidRPr="00B72EFD" w:rsidRDefault="00E408EA" w:rsidP="00B72EFD">
      <w:pPr>
        <w:pStyle w:val="Heading2"/>
        <w:jc w:val="both"/>
        <w:rPr>
          <w:rFonts w:ascii="Times New Roman" w:hAnsi="Times New Roman" w:cs="Times New Roman"/>
          <w:color w:val="auto"/>
        </w:rPr>
      </w:pPr>
      <w:bookmarkStart w:id="7" w:name="X60b2ff243c107aae72e3ce6a349687fb60f2d76"/>
      <w:r w:rsidRPr="00B72EFD">
        <w:rPr>
          <w:rFonts w:ascii="Times New Roman" w:hAnsi="Times New Roman" w:cs="Times New Roman"/>
          <w:color w:val="auto"/>
        </w:rPr>
        <w:t xml:space="preserve">Confiabilidad </w:t>
      </w:r>
      <w:proofErr w:type="gramStart"/>
      <w:r w:rsidRPr="00B72EFD">
        <w:rPr>
          <w:rFonts w:ascii="Times New Roman" w:hAnsi="Times New Roman" w:cs="Times New Roman"/>
          <w:color w:val="auto"/>
        </w:rPr>
        <w:t>del</w:t>
      </w:r>
      <w:proofErr w:type="gramEnd"/>
      <w:r w:rsidRPr="00B72EFD">
        <w:rPr>
          <w:rFonts w:ascii="Times New Roman" w:hAnsi="Times New Roman" w:cs="Times New Roman"/>
          <w:color w:val="auto"/>
        </w:rPr>
        <w:t xml:space="preserve"> cálculo de PRQ del método automatizado</w:t>
      </w:r>
      <w:bookmarkEnd w:id="7"/>
    </w:p>
    <w:p w:rsidR="00365105" w:rsidRPr="00B72EFD" w:rsidRDefault="00E408EA" w:rsidP="00B72EFD">
      <w:pPr>
        <w:pStyle w:val="FirstParagraph"/>
        <w:jc w:val="both"/>
        <w:rPr>
          <w:rFonts w:ascii="Times New Roman" w:hAnsi="Times New Roman" w:cs="Times New Roman"/>
        </w:rPr>
      </w:pPr>
      <w:proofErr w:type="gramStart"/>
      <w:r w:rsidRPr="00B72EFD">
        <w:rPr>
          <w:rFonts w:ascii="Times New Roman" w:hAnsi="Times New Roman" w:cs="Times New Roman"/>
        </w:rPr>
        <w:t xml:space="preserve">En la Tabla </w:t>
      </w:r>
      <w:hyperlink w:anchor="tab_03">
        <w:r w:rsidRPr="00B72EFD">
          <w:rPr>
            <w:rStyle w:val="EnlacedeInternet"/>
            <w:rFonts w:ascii="Times New Roman" w:hAnsi="Times New Roman" w:cs="Times New Roman"/>
            <w:color w:val="auto"/>
          </w:rPr>
          <w:t>3</w:t>
        </w:r>
      </w:hyperlink>
      <w:r w:rsidRPr="00B72EFD">
        <w:rPr>
          <w:rFonts w:ascii="Times New Roman" w:hAnsi="Times New Roman" w:cs="Times New Roman"/>
        </w:rPr>
        <w:t xml:space="preserve"> se muestran los valores de PRQ de la preparación de </w:t>
      </w:r>
      <w:r w:rsidRPr="00B72EFD">
        <w:rPr>
          <w:rFonts w:ascii="Times New Roman" w:hAnsi="Times New Roman" w:cs="Times New Roman"/>
          <w:vertAlign w:val="superscript"/>
        </w:rPr>
        <w:t>99m</w:t>
      </w:r>
      <w:r w:rsidRPr="00B72EFD">
        <w:rPr>
          <w:rFonts w:ascii="Times New Roman" w:hAnsi="Times New Roman" w:cs="Times New Roman"/>
        </w:rPr>
        <w:t>Tc-MIBI arrojados por los métodos 1 y 3.</w:t>
      </w:r>
      <w:proofErr w:type="gramEnd"/>
    </w:p>
    <w:p w:rsidR="00365105" w:rsidRDefault="00B72EFD" w:rsidP="00B72EFD">
      <w:pPr>
        <w:pStyle w:val="TableCaption"/>
        <w:jc w:val="both"/>
        <w:rPr>
          <w:rFonts w:ascii="Times New Roman" w:hAnsi="Times New Roman" w:cs="Times New Roman"/>
        </w:rPr>
      </w:pPr>
      <w:r>
        <w:rPr>
          <w:rFonts w:ascii="Times New Roman" w:hAnsi="Times New Roman" w:cs="Times New Roman"/>
        </w:rPr>
        <w:t xml:space="preserve">TABLA 3: </w:t>
      </w:r>
      <w:r w:rsidR="00E408EA" w:rsidRPr="00B72EFD">
        <w:rPr>
          <w:rFonts w:ascii="Times New Roman" w:hAnsi="Times New Roman" w:cs="Times New Roman"/>
        </w:rPr>
        <w:t xml:space="preserve">Pureza radioquímica de la preparación de </w:t>
      </w:r>
      <w:r w:rsidR="00E408EA" w:rsidRPr="00B72EFD">
        <w:rPr>
          <w:rFonts w:ascii="Times New Roman" w:hAnsi="Times New Roman" w:cs="Times New Roman"/>
          <w:vertAlign w:val="superscript"/>
        </w:rPr>
        <w:t>99m</w:t>
      </w:r>
      <w:r w:rsidR="00E408EA" w:rsidRPr="00B72EFD">
        <w:rPr>
          <w:rFonts w:ascii="Times New Roman" w:hAnsi="Times New Roman" w:cs="Times New Roman"/>
        </w:rPr>
        <w:t>Tc-MIBI obtenida por extracción diferencial en solventes (control automatizado) y por cromatografía de adsorción.</w:t>
      </w:r>
    </w:p>
    <w:p w:rsidR="00B72EFD" w:rsidRDefault="00B72EFD" w:rsidP="00B72EFD">
      <w:pPr>
        <w:pStyle w:val="TableCaption"/>
        <w:jc w:val="center"/>
        <w:rPr>
          <w:rFonts w:ascii="Times New Roman" w:hAnsi="Times New Roman" w:cs="Times New Roman"/>
        </w:rPr>
      </w:pPr>
      <w:r w:rsidRPr="00B72EFD">
        <w:drawing>
          <wp:inline distT="0" distB="0" distL="0" distR="0">
            <wp:extent cx="3244850" cy="1513791"/>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3252470" cy="1517346"/>
                    </a:xfrm>
                    <a:prstGeom prst="rect">
                      <a:avLst/>
                    </a:prstGeom>
                    <a:noFill/>
                    <a:ln w="9525">
                      <a:noFill/>
                      <a:miter lim="800000"/>
                      <a:headEnd/>
                      <a:tailEnd/>
                    </a:ln>
                  </pic:spPr>
                </pic:pic>
              </a:graphicData>
            </a:graphic>
          </wp:inline>
        </w:drawing>
      </w:r>
    </w:p>
    <w:p w:rsidR="00365105" w:rsidRPr="00B72EFD" w:rsidRDefault="00E408EA" w:rsidP="00B72EFD">
      <w:pPr>
        <w:pStyle w:val="Textoindependiente"/>
        <w:jc w:val="both"/>
        <w:rPr>
          <w:rFonts w:ascii="Times New Roman" w:hAnsi="Times New Roman" w:cs="Times New Roman"/>
        </w:rPr>
      </w:pPr>
      <w:r w:rsidRPr="00B72EFD">
        <w:rPr>
          <w:rFonts w:ascii="Times New Roman" w:hAnsi="Times New Roman" w:cs="Times New Roman"/>
        </w:rPr>
        <w:t>El valor de PRQ que arroja el control basado en cromatografía de adsorción (</w:t>
      </w:r>
      <m:oMath>
        <m:r>
          <w:rPr>
            <w:rFonts w:ascii="Cambria Math" w:hAnsi="Times New Roman" w:cs="Times New Roman"/>
          </w:rPr>
          <m:t>0</m:t>
        </m:r>
        <m:r>
          <w:rPr>
            <w:rFonts w:ascii="Cambria Math" w:hAnsi="Times New Roman" w:cs="Times New Roman"/>
          </w:rPr>
          <m:t>-</m:t>
        </m:r>
        <m:r>
          <w:rPr>
            <w:rFonts w:ascii="Cambria Math" w:hAnsi="Times New Roman" w:cs="Times New Roman"/>
          </w:rPr>
          <m:t>51</m:t>
        </m:r>
        <m:r>
          <m:rPr>
            <m:lit/>
            <m:nor/>
          </m:rPr>
          <w:rPr>
            <w:rFonts w:ascii="Times New Roman" w:hAnsi="Times New Roman" w:cs="Times New Roman"/>
          </w:rPr>
          <m:t>%</m:t>
        </m:r>
      </m:oMath>
      <w:r w:rsidRPr="00B72EFD">
        <w:rPr>
          <w:rFonts w:ascii="Times New Roman" w:hAnsi="Times New Roman" w:cs="Times New Roman"/>
        </w:rPr>
        <w:t>) es mucho menor que el que arroja el método de extracción por cloroformo (</w:t>
      </w:r>
      <m:oMath>
        <m:r>
          <w:rPr>
            <w:rFonts w:ascii="Cambria Math" w:hAnsi="Times New Roman" w:cs="Times New Roman"/>
          </w:rPr>
          <m:t>78</m:t>
        </m:r>
        <m:r>
          <w:rPr>
            <w:rFonts w:ascii="Cambria Math" w:hAnsi="Times New Roman" w:cs="Times New Roman"/>
          </w:rPr>
          <m:t>-</m:t>
        </m:r>
        <m:r>
          <w:rPr>
            <w:rFonts w:ascii="Cambria Math" w:hAnsi="Times New Roman" w:cs="Times New Roman"/>
          </w:rPr>
          <m:t>99</m:t>
        </m:r>
        <m:r>
          <m:rPr>
            <m:lit/>
            <m:nor/>
          </m:rPr>
          <w:rPr>
            <w:rFonts w:ascii="Times New Roman" w:hAnsi="Times New Roman" w:cs="Times New Roman"/>
          </w:rPr>
          <m:t>%</m:t>
        </m:r>
      </m:oMath>
      <w:r w:rsidRPr="00B72EFD">
        <w:rPr>
          <w:rFonts w:ascii="Times New Roman" w:hAnsi="Times New Roman" w:cs="Times New Roman"/>
        </w:rPr>
        <w:t>), inconsistencia que ya se ha reportado.</w:t>
      </w:r>
      <w:r w:rsidRPr="00B72EFD">
        <w:rPr>
          <w:rFonts w:ascii="Times New Roman" w:hAnsi="Times New Roman" w:cs="Times New Roman"/>
          <w:vertAlign w:val="superscript"/>
        </w:rPr>
        <w:t>6</w:t>
      </w:r>
      <w:r w:rsidRPr="00B72EFD">
        <w:rPr>
          <w:rFonts w:ascii="Times New Roman" w:hAnsi="Times New Roman" w:cs="Times New Roman"/>
        </w:rPr>
        <w:t xml:space="preserve"> La sobreestimación de la PRQ del </w:t>
      </w:r>
      <w:r w:rsidRPr="00B72EFD">
        <w:rPr>
          <w:rFonts w:ascii="Times New Roman" w:hAnsi="Times New Roman" w:cs="Times New Roman"/>
          <w:vertAlign w:val="superscript"/>
        </w:rPr>
        <w:t>99m</w:t>
      </w:r>
      <w:r w:rsidRPr="00B72EFD">
        <w:rPr>
          <w:rFonts w:ascii="Times New Roman" w:hAnsi="Times New Roman" w:cs="Times New Roman"/>
        </w:rPr>
        <w:t>Tc-MIBI po</w:t>
      </w:r>
      <w:r w:rsidRPr="00B72EFD">
        <w:rPr>
          <w:rFonts w:ascii="Times New Roman" w:hAnsi="Times New Roman" w:cs="Times New Roman"/>
        </w:rPr>
        <w:t xml:space="preserve">r el método automatizado puede atribuirse a impurezas coloidales de </w:t>
      </w:r>
      <w:r w:rsidRPr="00B72EFD">
        <w:rPr>
          <w:rFonts w:ascii="Times New Roman" w:hAnsi="Times New Roman" w:cs="Times New Roman"/>
          <w:vertAlign w:val="superscript"/>
        </w:rPr>
        <w:t>99m</w:t>
      </w:r>
      <w:r w:rsidRPr="00B72EFD">
        <w:rPr>
          <w:rFonts w:ascii="Times New Roman" w:hAnsi="Times New Roman" w:cs="Times New Roman"/>
        </w:rPr>
        <w:t>Tc que quedan retenidas en la fase clorofórmica.</w:t>
      </w:r>
      <w:r w:rsidRPr="00B72EFD">
        <w:rPr>
          <w:rFonts w:ascii="Times New Roman" w:hAnsi="Times New Roman" w:cs="Times New Roman"/>
          <w:vertAlign w:val="superscript"/>
        </w:rPr>
        <w:t>6</w:t>
      </w:r>
    </w:p>
    <w:p w:rsidR="00365105" w:rsidRPr="00B72EFD" w:rsidRDefault="00E408EA" w:rsidP="00B72EFD">
      <w:pPr>
        <w:pStyle w:val="Heading2"/>
        <w:jc w:val="both"/>
        <w:rPr>
          <w:rFonts w:ascii="Times New Roman" w:hAnsi="Times New Roman" w:cs="Times New Roman"/>
          <w:color w:val="auto"/>
        </w:rPr>
      </w:pPr>
      <w:bookmarkStart w:id="8" w:name="análisis-cualitativo-de-las-imágenes"/>
      <w:r w:rsidRPr="00B72EFD">
        <w:rPr>
          <w:rFonts w:ascii="Times New Roman" w:hAnsi="Times New Roman" w:cs="Times New Roman"/>
          <w:color w:val="auto"/>
        </w:rPr>
        <w:t>Análisis cualitativo de las imágenes</w:t>
      </w:r>
      <w:bookmarkEnd w:id="8"/>
    </w:p>
    <w:p w:rsidR="00365105" w:rsidRPr="00B72EFD" w:rsidRDefault="00E408EA" w:rsidP="00B72EFD">
      <w:pPr>
        <w:pStyle w:val="FirstParagraph"/>
        <w:jc w:val="both"/>
        <w:rPr>
          <w:rFonts w:ascii="Times New Roman" w:hAnsi="Times New Roman" w:cs="Times New Roman"/>
        </w:rPr>
      </w:pPr>
      <w:proofErr w:type="gramStart"/>
      <w:r w:rsidRPr="00B72EFD">
        <w:rPr>
          <w:rFonts w:ascii="Times New Roman" w:hAnsi="Times New Roman" w:cs="Times New Roman"/>
        </w:rPr>
        <w:t>En la Fig.</w:t>
      </w:r>
      <w:proofErr w:type="gramEnd"/>
      <w:r w:rsidRPr="00B72EFD">
        <w:rPr>
          <w:rFonts w:ascii="Times New Roman" w:hAnsi="Times New Roman" w:cs="Times New Roman"/>
        </w:rPr>
        <w:t xml:space="preserve"> </w:t>
      </w:r>
      <w:hyperlink w:anchor="fig:2Chain">
        <w:r w:rsidRPr="00B72EFD">
          <w:rPr>
            <w:rStyle w:val="EnlacedeInternet"/>
            <w:rFonts w:ascii="Times New Roman" w:hAnsi="Times New Roman" w:cs="Times New Roman"/>
            <w:color w:val="auto"/>
          </w:rPr>
          <w:t>2</w:t>
        </w:r>
      </w:hyperlink>
      <w:r w:rsidRPr="00B72EFD">
        <w:rPr>
          <w:rFonts w:ascii="Times New Roman" w:hAnsi="Times New Roman" w:cs="Times New Roman"/>
        </w:rPr>
        <w:t xml:space="preserve"> se muestra, a modo de ejemplo, una de las proyecciones planares de los SPECT analizados donde se evidencia que el radiofármaco es captado predominantemente en el hígado (ROI-1) a expensas de su localización en el corazón (ROI-2).</w:t>
      </w:r>
    </w:p>
    <w:p w:rsidR="00365105" w:rsidRPr="00B72EFD" w:rsidRDefault="00E408EA" w:rsidP="00B72EFD">
      <w:pPr>
        <w:pStyle w:val="Textoindependiente"/>
        <w:jc w:val="both"/>
        <w:rPr>
          <w:rFonts w:ascii="Times New Roman" w:hAnsi="Times New Roman" w:cs="Times New Roman"/>
        </w:rPr>
      </w:pPr>
      <w:r w:rsidRPr="00B72EFD">
        <w:rPr>
          <w:rFonts w:ascii="Times New Roman" w:hAnsi="Times New Roman" w:cs="Times New Roman"/>
        </w:rPr>
        <w:t xml:space="preserve">La </w:t>
      </w:r>
      <w:proofErr w:type="gramStart"/>
      <w:r w:rsidRPr="00B72EFD">
        <w:rPr>
          <w:rFonts w:ascii="Times New Roman" w:hAnsi="Times New Roman" w:cs="Times New Roman"/>
        </w:rPr>
        <w:t>alta</w:t>
      </w:r>
      <w:proofErr w:type="gramEnd"/>
      <w:r w:rsidRPr="00B72EFD">
        <w:rPr>
          <w:rFonts w:ascii="Times New Roman" w:hAnsi="Times New Roman" w:cs="Times New Roman"/>
        </w:rPr>
        <w:t xml:space="preserve"> localización de l</w:t>
      </w:r>
      <w:r w:rsidRPr="00B72EFD">
        <w:rPr>
          <w:rFonts w:ascii="Times New Roman" w:hAnsi="Times New Roman" w:cs="Times New Roman"/>
        </w:rPr>
        <w:t xml:space="preserve">a marca radiactiva que se observa en el hígado está en concordancia con la presencia de coloides de </w:t>
      </w:r>
      <w:r w:rsidRPr="00B72EFD">
        <w:rPr>
          <w:rFonts w:ascii="Times New Roman" w:hAnsi="Times New Roman" w:cs="Times New Roman"/>
          <w:vertAlign w:val="superscript"/>
        </w:rPr>
        <w:t>99m</w:t>
      </w:r>
      <w:r w:rsidRPr="00B72EFD">
        <w:rPr>
          <w:rFonts w:ascii="Times New Roman" w:hAnsi="Times New Roman" w:cs="Times New Roman"/>
        </w:rPr>
        <w:t>Tc en la preparación radiofarmacéutica debido a que es sabido que estas especies quedan retenidas en hígado, bazo y médula ósea roja.</w:t>
      </w:r>
      <w:r w:rsidRPr="00B72EFD">
        <w:rPr>
          <w:rFonts w:ascii="Times New Roman" w:hAnsi="Times New Roman" w:cs="Times New Roman"/>
          <w:vertAlign w:val="superscript"/>
        </w:rPr>
        <w:t>7</w:t>
      </w:r>
    </w:p>
    <w:p w:rsidR="00365105" w:rsidRPr="00B72EFD" w:rsidRDefault="00E408EA" w:rsidP="00B72EFD">
      <w:pPr>
        <w:pStyle w:val="Textoindependiente"/>
        <w:jc w:val="both"/>
        <w:rPr>
          <w:rFonts w:ascii="Times New Roman" w:hAnsi="Times New Roman" w:cs="Times New Roman"/>
        </w:rPr>
      </w:pPr>
      <w:r w:rsidRPr="00B72EFD">
        <w:rPr>
          <w:rFonts w:ascii="Times New Roman" w:hAnsi="Times New Roman" w:cs="Times New Roman"/>
        </w:rPr>
        <w:t>La baja localizaci</w:t>
      </w:r>
      <w:r w:rsidRPr="00B72EFD">
        <w:rPr>
          <w:rFonts w:ascii="Times New Roman" w:hAnsi="Times New Roman" w:cs="Times New Roman"/>
        </w:rPr>
        <w:t xml:space="preserve">ón de la marca radiactiva en el corazón es evidente ya que en las imágenes planares analizadas hay menos de 100 cuentas en el píxel máximo </w:t>
      </w:r>
      <w:proofErr w:type="gramStart"/>
      <w:r w:rsidRPr="00B72EFD">
        <w:rPr>
          <w:rFonts w:ascii="Times New Roman" w:hAnsi="Times New Roman" w:cs="Times New Roman"/>
        </w:rPr>
        <w:t>del</w:t>
      </w:r>
      <w:proofErr w:type="gramEnd"/>
      <w:r w:rsidRPr="00B72EFD">
        <w:rPr>
          <w:rFonts w:ascii="Times New Roman" w:hAnsi="Times New Roman" w:cs="Times New Roman"/>
        </w:rPr>
        <w:t xml:space="preserve"> ventrículo izquierdo. Esto representa una estadística deficiente de la imagen miocárdica ya que, </w:t>
      </w:r>
      <w:proofErr w:type="gramStart"/>
      <w:r w:rsidRPr="00B72EFD">
        <w:rPr>
          <w:rFonts w:ascii="Times New Roman" w:hAnsi="Times New Roman" w:cs="Times New Roman"/>
        </w:rPr>
        <w:t>como</w:t>
      </w:r>
      <w:proofErr w:type="gramEnd"/>
      <w:r w:rsidRPr="00B72EFD">
        <w:rPr>
          <w:rFonts w:ascii="Times New Roman" w:hAnsi="Times New Roman" w:cs="Times New Roman"/>
        </w:rPr>
        <w:t xml:space="preserve"> regla gener</w:t>
      </w:r>
      <w:r w:rsidRPr="00B72EFD">
        <w:rPr>
          <w:rFonts w:ascii="Times New Roman" w:hAnsi="Times New Roman" w:cs="Times New Roman"/>
        </w:rPr>
        <w:t xml:space="preserve">al, el pico de actividad en el píxel del miocardio del ventrículo izquierdo en la proyección anterior de la imagen planar debe ser de 200 cuentas para el </w:t>
      </w:r>
      <w:r w:rsidRPr="00B72EFD">
        <w:rPr>
          <w:rFonts w:ascii="Times New Roman" w:hAnsi="Times New Roman" w:cs="Times New Roman"/>
          <w:vertAlign w:val="superscript"/>
        </w:rPr>
        <w:t>99m</w:t>
      </w:r>
      <w:r w:rsidRPr="00B72EFD">
        <w:rPr>
          <w:rFonts w:ascii="Times New Roman" w:hAnsi="Times New Roman" w:cs="Times New Roman"/>
        </w:rPr>
        <w:t>Tc.</w:t>
      </w:r>
      <w:r w:rsidRPr="00B72EFD">
        <w:rPr>
          <w:rFonts w:ascii="Times New Roman" w:hAnsi="Times New Roman" w:cs="Times New Roman"/>
          <w:vertAlign w:val="superscript"/>
        </w:rPr>
        <w:t>8</w:t>
      </w:r>
    </w:p>
    <w:p w:rsidR="00365105" w:rsidRDefault="00E408EA" w:rsidP="00B72EFD">
      <w:pPr>
        <w:pStyle w:val="CaptionedFigure"/>
        <w:jc w:val="center"/>
      </w:pPr>
      <w:bookmarkStart w:id="9" w:name="fig%3A2Chain"/>
      <w:r>
        <w:rPr>
          <w:noProof/>
          <w:lang w:val="es-ES" w:eastAsia="es-ES"/>
        </w:rPr>
        <w:lastRenderedPageBreak/>
        <w:drawing>
          <wp:inline distT="0" distB="0" distL="114935" distR="114935">
            <wp:extent cx="2857502" cy="1905000"/>
            <wp:effectExtent l="19050" t="0" r="0" b="0"/>
            <wp:docPr id="2" name="Imagen1" descr="Proyección planar anteroposterior obtenida de los raw data de un SPECT cardíaco de uso clínico de los servicios visitados. La escala de colores utilizada es GE Color lineal donde WL=36 y WW=120. ROI-1 corresponde al hígado y ROI-2 al coraz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Proyección planar anteroposterior obtenida de los raw data de un SPECT cardíaco de uso clínico de los servicios visitados. La escala de colores utilizada es GE Color lineal donde WL=36 y WW=120. ROI-1 corresponde al hígado y ROI-2 al corazón."/>
                    <pic:cNvPicPr>
                      <a:picLocks noChangeAspect="1" noChangeArrowheads="1"/>
                    </pic:cNvPicPr>
                  </pic:nvPicPr>
                  <pic:blipFill>
                    <a:blip r:embed="rId9"/>
                    <a:stretch>
                      <a:fillRect/>
                    </a:stretch>
                  </pic:blipFill>
                  <pic:spPr bwMode="auto">
                    <a:xfrm>
                      <a:off x="0" y="0"/>
                      <a:ext cx="2857503" cy="1905001"/>
                    </a:xfrm>
                    <a:prstGeom prst="rect">
                      <a:avLst/>
                    </a:prstGeom>
                  </pic:spPr>
                </pic:pic>
              </a:graphicData>
            </a:graphic>
          </wp:inline>
        </w:drawing>
      </w:r>
      <w:bookmarkEnd w:id="9"/>
    </w:p>
    <w:p w:rsidR="00365105" w:rsidRPr="00B72EFD" w:rsidRDefault="00B72EFD" w:rsidP="00B72EFD">
      <w:pPr>
        <w:pStyle w:val="ImageCaption"/>
        <w:jc w:val="both"/>
        <w:rPr>
          <w:rFonts w:ascii="Times New Roman" w:hAnsi="Times New Roman" w:cs="Times New Roman"/>
        </w:rPr>
      </w:pPr>
      <w:r w:rsidRPr="00B72EFD">
        <w:rPr>
          <w:rFonts w:ascii="Times New Roman" w:hAnsi="Times New Roman" w:cs="Times New Roman"/>
        </w:rPr>
        <w:t xml:space="preserve">FIG. 2: </w:t>
      </w:r>
      <w:r w:rsidR="00E408EA" w:rsidRPr="00B72EFD">
        <w:rPr>
          <w:rFonts w:ascii="Times New Roman" w:hAnsi="Times New Roman" w:cs="Times New Roman"/>
        </w:rPr>
        <w:t xml:space="preserve">Proyección planar anteroposterior obtenida de los raw data de </w:t>
      </w:r>
      <w:proofErr w:type="gramStart"/>
      <w:r w:rsidR="00E408EA" w:rsidRPr="00B72EFD">
        <w:rPr>
          <w:rFonts w:ascii="Times New Roman" w:hAnsi="Times New Roman" w:cs="Times New Roman"/>
        </w:rPr>
        <w:t>un</w:t>
      </w:r>
      <w:proofErr w:type="gramEnd"/>
      <w:r w:rsidR="00E408EA" w:rsidRPr="00B72EFD">
        <w:rPr>
          <w:rFonts w:ascii="Times New Roman" w:hAnsi="Times New Roman" w:cs="Times New Roman"/>
        </w:rPr>
        <w:t xml:space="preserve"> SPECT cardíaco de uso clíni</w:t>
      </w:r>
      <w:r w:rsidR="00E408EA" w:rsidRPr="00B72EFD">
        <w:rPr>
          <w:rFonts w:ascii="Times New Roman" w:hAnsi="Times New Roman" w:cs="Times New Roman"/>
        </w:rPr>
        <w:t xml:space="preserve">co de los servicios visitados. La escala de colores utilizada es GE Color lineal donde WL=36 y WW=120. </w:t>
      </w:r>
      <w:proofErr w:type="gramStart"/>
      <w:r w:rsidR="00E408EA" w:rsidRPr="00B72EFD">
        <w:rPr>
          <w:rFonts w:ascii="Times New Roman" w:hAnsi="Times New Roman" w:cs="Times New Roman"/>
        </w:rPr>
        <w:t>ROI-1 corresponde al hígado y ROI-2 al corazón.</w:t>
      </w:r>
      <w:proofErr w:type="gramEnd"/>
    </w:p>
    <w:p w:rsidR="00365105" w:rsidRPr="00B72EFD" w:rsidRDefault="00B72EFD">
      <w:pPr>
        <w:pStyle w:val="Heading1"/>
        <w:rPr>
          <w:rFonts w:ascii="Times New Roman" w:hAnsi="Times New Roman" w:cs="Times New Roman"/>
          <w:color w:val="auto"/>
        </w:rPr>
      </w:pPr>
      <w:bookmarkStart w:id="10" w:name="sec%3A4"/>
      <w:r>
        <w:rPr>
          <w:rFonts w:ascii="Times New Roman" w:hAnsi="Times New Roman" w:cs="Times New Roman"/>
          <w:color w:val="auto"/>
        </w:rPr>
        <w:t xml:space="preserve">IV. </w:t>
      </w:r>
      <w:r w:rsidR="00E408EA" w:rsidRPr="00B72EFD">
        <w:rPr>
          <w:rFonts w:ascii="Times New Roman" w:hAnsi="Times New Roman" w:cs="Times New Roman"/>
          <w:color w:val="auto"/>
        </w:rPr>
        <w:t>CONCLUSIONES</w:t>
      </w:r>
      <w:bookmarkEnd w:id="10"/>
    </w:p>
    <w:p w:rsidR="00365105" w:rsidRPr="00B72EFD" w:rsidRDefault="00E408EA" w:rsidP="00B72EFD">
      <w:pPr>
        <w:pStyle w:val="FirstParagraph"/>
        <w:jc w:val="both"/>
        <w:rPr>
          <w:rFonts w:ascii="Times New Roman" w:hAnsi="Times New Roman" w:cs="Times New Roman"/>
        </w:rPr>
      </w:pPr>
      <w:r w:rsidRPr="00B72EFD">
        <w:rPr>
          <w:rFonts w:ascii="Times New Roman" w:hAnsi="Times New Roman" w:cs="Times New Roman"/>
        </w:rPr>
        <w:t xml:space="preserve">En </w:t>
      </w:r>
      <w:proofErr w:type="gramStart"/>
      <w:r w:rsidRPr="00B72EFD">
        <w:rPr>
          <w:rFonts w:ascii="Times New Roman" w:hAnsi="Times New Roman" w:cs="Times New Roman"/>
        </w:rPr>
        <w:t>este</w:t>
      </w:r>
      <w:proofErr w:type="gramEnd"/>
      <w:r w:rsidRPr="00B72EFD">
        <w:rPr>
          <w:rFonts w:ascii="Times New Roman" w:hAnsi="Times New Roman" w:cs="Times New Roman"/>
        </w:rPr>
        <w:t xml:space="preserve"> trabajo se evaluó la PRQ de preparaciones de </w:t>
      </w:r>
      <w:r w:rsidRPr="00B72EFD">
        <w:rPr>
          <w:rFonts w:ascii="Times New Roman" w:hAnsi="Times New Roman" w:cs="Times New Roman"/>
          <w:vertAlign w:val="superscript"/>
        </w:rPr>
        <w:t>99m</w:t>
      </w:r>
      <w:r w:rsidRPr="00B72EFD">
        <w:rPr>
          <w:rFonts w:ascii="Times New Roman" w:hAnsi="Times New Roman" w:cs="Times New Roman"/>
        </w:rPr>
        <w:t>Tc- MIBI utilizando un método basado</w:t>
      </w:r>
      <w:r w:rsidRPr="00B72EFD">
        <w:rPr>
          <w:rFonts w:ascii="Times New Roman" w:hAnsi="Times New Roman" w:cs="Times New Roman"/>
        </w:rPr>
        <w:t xml:space="preserve"> en una cromatografía de adsorción en capa delgada que arrojó valores que se encuentran muy por debajo de los límites aceptados internacionalmente. Este hallazgo contrasta con los valores de PRQ que se obtienen mediante los procedimientos basados en extrac</w:t>
      </w:r>
      <w:r w:rsidRPr="00B72EFD">
        <w:rPr>
          <w:rFonts w:ascii="Times New Roman" w:hAnsi="Times New Roman" w:cs="Times New Roman"/>
        </w:rPr>
        <w:t>ción cloroformo- agua que se utilizan de rutina en la clínica. El método de control de PRQ automatizado basado en la separación de las especies radioquímicas en un sistema cloroformo- agua, sobreestima la PRQ del radiofármaco al suponer que toda la radiact</w:t>
      </w:r>
      <w:r w:rsidRPr="00B72EFD">
        <w:rPr>
          <w:rFonts w:ascii="Times New Roman" w:hAnsi="Times New Roman" w:cs="Times New Roman"/>
        </w:rPr>
        <w:t xml:space="preserve">ividad medida en la fase clorofórmica proviene del radiofármaco y no de posibles contaminantes coloidales radiomarcados. De allí que </w:t>
      </w:r>
      <w:proofErr w:type="gramStart"/>
      <w:r w:rsidRPr="00B72EFD">
        <w:rPr>
          <w:rFonts w:ascii="Times New Roman" w:hAnsi="Times New Roman" w:cs="Times New Roman"/>
        </w:rPr>
        <w:t>este</w:t>
      </w:r>
      <w:proofErr w:type="gramEnd"/>
      <w:r w:rsidRPr="00B72EFD">
        <w:rPr>
          <w:rFonts w:ascii="Times New Roman" w:hAnsi="Times New Roman" w:cs="Times New Roman"/>
        </w:rPr>
        <w:t xml:space="preserve"> método no resulta confiable en casos de preparaciones de </w:t>
      </w:r>
      <w:r w:rsidRPr="00B72EFD">
        <w:rPr>
          <w:rFonts w:ascii="Times New Roman" w:hAnsi="Times New Roman" w:cs="Times New Roman"/>
          <w:vertAlign w:val="superscript"/>
        </w:rPr>
        <w:t>99m</w:t>
      </w:r>
      <w:r w:rsidRPr="00B72EFD">
        <w:rPr>
          <w:rFonts w:ascii="Times New Roman" w:hAnsi="Times New Roman" w:cs="Times New Roman"/>
        </w:rPr>
        <w:t xml:space="preserve">Tc-MIBI con alta concentración de especies coloidales de </w:t>
      </w:r>
      <w:r w:rsidRPr="00B72EFD">
        <w:rPr>
          <w:rFonts w:ascii="Times New Roman" w:hAnsi="Times New Roman" w:cs="Times New Roman"/>
          <w:vertAlign w:val="superscript"/>
        </w:rPr>
        <w:t>9</w:t>
      </w:r>
      <w:r w:rsidRPr="00B72EFD">
        <w:rPr>
          <w:rFonts w:ascii="Times New Roman" w:hAnsi="Times New Roman" w:cs="Times New Roman"/>
          <w:vertAlign w:val="superscript"/>
        </w:rPr>
        <w:t>9m</w:t>
      </w:r>
      <w:r w:rsidRPr="00B72EFD">
        <w:rPr>
          <w:rFonts w:ascii="Times New Roman" w:hAnsi="Times New Roman" w:cs="Times New Roman"/>
        </w:rPr>
        <w:t>Tc contaminantes.</w:t>
      </w:r>
    </w:p>
    <w:p w:rsidR="00365105" w:rsidRPr="00B72EFD" w:rsidRDefault="00E408EA" w:rsidP="00B72EFD">
      <w:pPr>
        <w:pStyle w:val="Textoindependiente"/>
        <w:jc w:val="both"/>
        <w:rPr>
          <w:rFonts w:ascii="Times New Roman" w:hAnsi="Times New Roman" w:cs="Times New Roman"/>
        </w:rPr>
      </w:pPr>
      <w:r w:rsidRPr="00B72EFD">
        <w:rPr>
          <w:rFonts w:ascii="Times New Roman" w:hAnsi="Times New Roman" w:cs="Times New Roman"/>
        </w:rPr>
        <w:t xml:space="preserve">La inadecuada valoración de la PRQ del </w:t>
      </w:r>
      <w:r w:rsidRPr="00B72EFD">
        <w:rPr>
          <w:rFonts w:ascii="Times New Roman" w:hAnsi="Times New Roman" w:cs="Times New Roman"/>
          <w:vertAlign w:val="superscript"/>
        </w:rPr>
        <w:t>99m</w:t>
      </w:r>
      <w:r w:rsidRPr="00B72EFD">
        <w:rPr>
          <w:rFonts w:ascii="Times New Roman" w:hAnsi="Times New Roman" w:cs="Times New Roman"/>
        </w:rPr>
        <w:t>Tc-MIBI por el método de control automatizado afecta la calidad de los centellogramas cardíacos obtenidos (estudios con bajo número de cuentas y una menor calidad de imagen) a la vez que causa u</w:t>
      </w:r>
      <w:r w:rsidRPr="00B72EFD">
        <w:rPr>
          <w:rFonts w:ascii="Times New Roman" w:hAnsi="Times New Roman" w:cs="Times New Roman"/>
        </w:rPr>
        <w:t xml:space="preserve">na dosis de radiación innecesaria en otros órganos no- blanco </w:t>
      </w:r>
      <w:proofErr w:type="gramStart"/>
      <w:r w:rsidRPr="00B72EFD">
        <w:rPr>
          <w:rFonts w:ascii="Times New Roman" w:hAnsi="Times New Roman" w:cs="Times New Roman"/>
        </w:rPr>
        <w:t>del</w:t>
      </w:r>
      <w:proofErr w:type="gramEnd"/>
      <w:r w:rsidRPr="00B72EFD">
        <w:rPr>
          <w:rFonts w:ascii="Times New Roman" w:hAnsi="Times New Roman" w:cs="Times New Roman"/>
        </w:rPr>
        <w:t xml:space="preserve"> paciente.</w:t>
      </w:r>
    </w:p>
    <w:p w:rsidR="00365105" w:rsidRPr="00B72EFD" w:rsidRDefault="00E408EA" w:rsidP="00B72EFD">
      <w:pPr>
        <w:pStyle w:val="Textoindependiente"/>
        <w:jc w:val="both"/>
        <w:rPr>
          <w:rFonts w:ascii="Times New Roman" w:hAnsi="Times New Roman" w:cs="Times New Roman"/>
        </w:rPr>
      </w:pPr>
      <w:r w:rsidRPr="00B72EFD">
        <w:rPr>
          <w:rFonts w:ascii="Times New Roman" w:hAnsi="Times New Roman" w:cs="Times New Roman"/>
        </w:rPr>
        <w:t xml:space="preserve">Es recomendable que la PRQ del </w:t>
      </w:r>
      <w:r w:rsidRPr="00B72EFD">
        <w:rPr>
          <w:rFonts w:ascii="Times New Roman" w:hAnsi="Times New Roman" w:cs="Times New Roman"/>
          <w:vertAlign w:val="superscript"/>
        </w:rPr>
        <w:t>99m</w:t>
      </w:r>
      <w:r w:rsidRPr="00B72EFD">
        <w:rPr>
          <w:rFonts w:ascii="Times New Roman" w:hAnsi="Times New Roman" w:cs="Times New Roman"/>
        </w:rPr>
        <w:t xml:space="preserve">Tc- MIBI no se valore por un método que se base en la extracción cloroformo- agua de las especies radioquímicas, sino por un método basado en TLC </w:t>
      </w:r>
      <w:r w:rsidRPr="00B72EFD">
        <w:rPr>
          <w:rFonts w:ascii="Times New Roman" w:hAnsi="Times New Roman" w:cs="Times New Roman"/>
        </w:rPr>
        <w:t>tal como se realiza en el resto del mundo.</w:t>
      </w:r>
    </w:p>
    <w:p w:rsidR="00365105" w:rsidRDefault="00E408EA" w:rsidP="004C77C4">
      <w:pPr>
        <w:pStyle w:val="Heading1"/>
        <w:spacing w:before="0" w:after="120"/>
        <w:rPr>
          <w:rFonts w:ascii="Times New Roman" w:hAnsi="Times New Roman" w:cs="Times New Roman"/>
          <w:color w:val="auto"/>
          <w:sz w:val="24"/>
          <w:szCs w:val="24"/>
        </w:rPr>
      </w:pPr>
      <w:bookmarkStart w:id="11" w:name="referencias"/>
      <w:r w:rsidRPr="00324B6F">
        <w:rPr>
          <w:rFonts w:ascii="Times New Roman" w:hAnsi="Times New Roman" w:cs="Times New Roman"/>
          <w:color w:val="auto"/>
          <w:sz w:val="24"/>
          <w:szCs w:val="24"/>
        </w:rPr>
        <w:t>REFERENCIAS</w:t>
      </w:r>
      <w:bookmarkEnd w:id="11"/>
    </w:p>
    <w:p w:rsidR="004C77C4" w:rsidRPr="004C77C4" w:rsidRDefault="004C77C4" w:rsidP="004C77C4">
      <w:pPr>
        <w:suppressAutoHyphens w:val="0"/>
        <w:autoSpaceDE w:val="0"/>
        <w:autoSpaceDN w:val="0"/>
        <w:adjustRightInd w:val="0"/>
        <w:spacing w:after="120"/>
        <w:jc w:val="both"/>
        <w:rPr>
          <w:rFonts w:ascii="Times New Roman" w:hAnsi="Times New Roman" w:cs="Times New Roman"/>
          <w:color w:val="000000"/>
          <w:lang w:val="es-ES"/>
        </w:rPr>
      </w:pPr>
      <w:r w:rsidRPr="004C77C4">
        <w:rPr>
          <w:rFonts w:ascii="Times New Roman" w:hAnsi="Times New Roman" w:cs="Times New Roman"/>
          <w:color w:val="000000"/>
          <w:lang w:val="es-ES"/>
        </w:rPr>
        <w:t xml:space="preserve">[1] European Pharmacopoeia (Ph.Eur.) </w:t>
      </w:r>
      <w:r w:rsidRPr="004C77C4">
        <w:rPr>
          <w:rFonts w:ascii="Times New Roman" w:hAnsi="Times New Roman" w:cs="Times New Roman"/>
          <w:color w:val="0000FF"/>
          <w:lang w:val="es-ES"/>
        </w:rPr>
        <w:t>https://www.edqm.eu/en/european-pharmacopoeia-ph-eur-10th-edition</w:t>
      </w:r>
      <w:r w:rsidRPr="004C77C4">
        <w:rPr>
          <w:rFonts w:ascii="Times New Roman" w:hAnsi="Times New Roman" w:cs="Times New Roman"/>
          <w:color w:val="000000"/>
          <w:lang w:val="es-ES"/>
        </w:rPr>
        <w:t>.</w:t>
      </w:r>
    </w:p>
    <w:p w:rsidR="004C77C4" w:rsidRPr="004C77C4" w:rsidRDefault="004C77C4" w:rsidP="004C77C4">
      <w:pPr>
        <w:suppressAutoHyphens w:val="0"/>
        <w:autoSpaceDE w:val="0"/>
        <w:autoSpaceDN w:val="0"/>
        <w:adjustRightInd w:val="0"/>
        <w:spacing w:after="120"/>
        <w:jc w:val="both"/>
        <w:rPr>
          <w:rFonts w:ascii="Times New Roman" w:hAnsi="Times New Roman" w:cs="Times New Roman"/>
          <w:color w:val="000000"/>
          <w:lang w:val="es-ES"/>
        </w:rPr>
      </w:pPr>
      <w:r w:rsidRPr="004C77C4">
        <w:rPr>
          <w:rFonts w:ascii="Times New Roman" w:hAnsi="Times New Roman" w:cs="Times New Roman"/>
          <w:color w:val="000000"/>
          <w:lang w:val="es-ES"/>
        </w:rPr>
        <w:t>[2] C. Maioli, G. Lucignani, A. Strinchini, L. Tagliabue y A.</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Del Sole. Quality control on radiochemical purity in</w:t>
      </w:r>
    </w:p>
    <w:p w:rsidR="004C77C4" w:rsidRPr="004C77C4" w:rsidRDefault="004C77C4" w:rsidP="004C77C4">
      <w:pPr>
        <w:suppressAutoHyphens w:val="0"/>
        <w:autoSpaceDE w:val="0"/>
        <w:autoSpaceDN w:val="0"/>
        <w:adjustRightInd w:val="0"/>
        <w:spacing w:after="120"/>
        <w:jc w:val="both"/>
        <w:rPr>
          <w:rFonts w:ascii="Times New Roman" w:hAnsi="Times New Roman" w:cs="Times New Roman"/>
          <w:color w:val="000000"/>
          <w:lang w:val="es-ES"/>
        </w:rPr>
      </w:pPr>
      <w:r w:rsidRPr="004C77C4">
        <w:rPr>
          <w:rFonts w:ascii="Times New Roman" w:hAnsi="Times New Roman" w:cs="Times New Roman"/>
          <w:color w:val="000000"/>
          <w:lang w:val="es-ES"/>
        </w:rPr>
        <w:t>Technetium-99m radiopharmaceuticals labelling: three years</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 xml:space="preserve">of experience on 2280 procedures. </w:t>
      </w:r>
      <w:r w:rsidRPr="004C77C4">
        <w:rPr>
          <w:rFonts w:ascii="Times New Roman" w:hAnsi="Times New Roman" w:cs="Times New Roman"/>
          <w:color w:val="0000FF"/>
          <w:lang w:val="es-ES"/>
        </w:rPr>
        <w:t xml:space="preserve">Acta Biomed </w:t>
      </w:r>
      <w:r w:rsidRPr="004C77C4">
        <w:rPr>
          <w:rFonts w:ascii="Times New Roman" w:hAnsi="Times New Roman" w:cs="Times New Roman"/>
          <w:b/>
          <w:color w:val="0000FF"/>
          <w:lang w:val="es-ES"/>
        </w:rPr>
        <w:t>88</w:t>
      </w:r>
      <w:r w:rsidRPr="004C77C4">
        <w:rPr>
          <w:rFonts w:ascii="Times New Roman" w:hAnsi="Times New Roman" w:cs="Times New Roman"/>
          <w:color w:val="0000FF"/>
          <w:lang w:val="es-ES"/>
        </w:rPr>
        <w:t>, 49-51</w:t>
      </w:r>
      <w:r>
        <w:rPr>
          <w:rFonts w:ascii="Times New Roman" w:hAnsi="Times New Roman" w:cs="Times New Roman"/>
          <w:color w:val="0000FF"/>
          <w:lang w:val="es-ES"/>
        </w:rPr>
        <w:t xml:space="preserve"> </w:t>
      </w:r>
      <w:r w:rsidRPr="004C77C4">
        <w:rPr>
          <w:rFonts w:ascii="Times New Roman" w:hAnsi="Times New Roman" w:cs="Times New Roman"/>
          <w:color w:val="0000FF"/>
          <w:lang w:val="es-ES"/>
        </w:rPr>
        <w:t>(2017)</w:t>
      </w:r>
      <w:r w:rsidRPr="004C77C4">
        <w:rPr>
          <w:rFonts w:ascii="Times New Roman" w:hAnsi="Times New Roman" w:cs="Times New Roman"/>
          <w:color w:val="000000"/>
          <w:lang w:val="es-ES"/>
        </w:rPr>
        <w:t>.</w:t>
      </w:r>
    </w:p>
    <w:p w:rsidR="004C77C4" w:rsidRPr="004C77C4" w:rsidRDefault="004C77C4" w:rsidP="004C77C4">
      <w:pPr>
        <w:suppressAutoHyphens w:val="0"/>
        <w:autoSpaceDE w:val="0"/>
        <w:autoSpaceDN w:val="0"/>
        <w:adjustRightInd w:val="0"/>
        <w:spacing w:after="120"/>
        <w:jc w:val="both"/>
        <w:rPr>
          <w:rFonts w:ascii="Times New Roman" w:hAnsi="Times New Roman" w:cs="Times New Roman"/>
          <w:color w:val="000000"/>
          <w:lang w:val="es-ES"/>
        </w:rPr>
      </w:pPr>
      <w:r w:rsidRPr="004C77C4">
        <w:rPr>
          <w:rFonts w:ascii="Times New Roman" w:hAnsi="Times New Roman" w:cs="Times New Roman"/>
          <w:color w:val="000000"/>
          <w:lang w:val="es-ES"/>
        </w:rPr>
        <w:t>[3] A. L. Luebke, D. M. Wilary, D. W. Mahoney y J. C. Hung.</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Evaluation of an alternative radiochemical purity testing</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method for Technetium-99m Sestamibi. Journal of Nuclear</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 xml:space="preserve">Medicine Technology </w:t>
      </w:r>
      <w:r w:rsidRPr="004C77C4">
        <w:rPr>
          <w:rFonts w:ascii="Times New Roman" w:hAnsi="Times New Roman" w:cs="Times New Roman"/>
          <w:b/>
          <w:color w:val="000000"/>
          <w:lang w:val="es-ES"/>
        </w:rPr>
        <w:t>28</w:t>
      </w:r>
      <w:r w:rsidRPr="004C77C4">
        <w:rPr>
          <w:rFonts w:ascii="Times New Roman" w:hAnsi="Times New Roman" w:cs="Times New Roman"/>
          <w:color w:val="000000"/>
          <w:lang w:val="es-ES"/>
        </w:rPr>
        <w:t>, 259-263 (dic. de 2000).</w:t>
      </w:r>
    </w:p>
    <w:p w:rsidR="004C77C4" w:rsidRPr="004C77C4" w:rsidRDefault="004C77C4" w:rsidP="004C77C4">
      <w:pPr>
        <w:suppressAutoHyphens w:val="0"/>
        <w:autoSpaceDE w:val="0"/>
        <w:autoSpaceDN w:val="0"/>
        <w:adjustRightInd w:val="0"/>
        <w:spacing w:after="120"/>
        <w:jc w:val="both"/>
        <w:rPr>
          <w:rFonts w:ascii="Times New Roman" w:hAnsi="Times New Roman" w:cs="Times New Roman"/>
          <w:color w:val="000000"/>
          <w:lang w:val="es-ES"/>
        </w:rPr>
      </w:pPr>
      <w:r w:rsidRPr="004C77C4">
        <w:rPr>
          <w:rFonts w:ascii="Times New Roman" w:hAnsi="Times New Roman" w:cs="Times New Roman"/>
          <w:color w:val="000000"/>
          <w:lang w:val="es-ES"/>
        </w:rPr>
        <w:t>[4] J. C. Hung, M. E. Wilson, M. W. Gebhard y R. J. Gibbons.</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Comparison of four alternative radiochemical purity</w:t>
      </w:r>
    </w:p>
    <w:p w:rsidR="004C77C4" w:rsidRPr="004C77C4" w:rsidRDefault="004C77C4" w:rsidP="004C77C4">
      <w:pPr>
        <w:suppressAutoHyphens w:val="0"/>
        <w:autoSpaceDE w:val="0"/>
        <w:autoSpaceDN w:val="0"/>
        <w:adjustRightInd w:val="0"/>
        <w:spacing w:after="120"/>
        <w:jc w:val="both"/>
        <w:rPr>
          <w:rFonts w:ascii="Times New Roman" w:hAnsi="Times New Roman" w:cs="Times New Roman"/>
          <w:color w:val="000000"/>
          <w:lang w:val="es-ES"/>
        </w:rPr>
      </w:pPr>
      <w:proofErr w:type="gramStart"/>
      <w:r w:rsidRPr="004C77C4">
        <w:rPr>
          <w:rFonts w:ascii="Times New Roman" w:hAnsi="Times New Roman" w:cs="Times New Roman"/>
          <w:color w:val="000000"/>
          <w:lang w:val="es-ES"/>
        </w:rPr>
        <w:t>testing</w:t>
      </w:r>
      <w:proofErr w:type="gramEnd"/>
      <w:r w:rsidRPr="004C77C4">
        <w:rPr>
          <w:rFonts w:ascii="Times New Roman" w:hAnsi="Times New Roman" w:cs="Times New Roman"/>
          <w:color w:val="000000"/>
          <w:lang w:val="es-ES"/>
        </w:rPr>
        <w:t xml:space="preserve"> methods for 99Tcm-sestamibi. </w:t>
      </w:r>
      <w:r w:rsidRPr="004C77C4">
        <w:rPr>
          <w:rFonts w:ascii="Times New Roman" w:hAnsi="Times New Roman" w:cs="Times New Roman"/>
          <w:color w:val="0000FF"/>
          <w:lang w:val="es-ES"/>
        </w:rPr>
        <w:t>Nucl. Med. Commun.</w:t>
      </w:r>
      <w:r>
        <w:rPr>
          <w:rFonts w:ascii="Times New Roman" w:hAnsi="Times New Roman" w:cs="Times New Roman"/>
          <w:color w:val="0000FF"/>
          <w:lang w:val="es-ES"/>
        </w:rPr>
        <w:t xml:space="preserve"> </w:t>
      </w:r>
      <w:r w:rsidRPr="004C77C4">
        <w:rPr>
          <w:rFonts w:ascii="Times New Roman" w:hAnsi="Times New Roman" w:cs="Times New Roman"/>
          <w:b/>
          <w:color w:val="0000FF"/>
          <w:lang w:val="es-ES"/>
        </w:rPr>
        <w:t>16</w:t>
      </w:r>
      <w:r w:rsidRPr="004C77C4">
        <w:rPr>
          <w:rFonts w:ascii="Times New Roman" w:hAnsi="Times New Roman" w:cs="Times New Roman"/>
          <w:color w:val="0000FF"/>
          <w:lang w:val="es-ES"/>
        </w:rPr>
        <w:t>, 99-104 (1995)</w:t>
      </w:r>
      <w:r w:rsidRPr="004C77C4">
        <w:rPr>
          <w:rFonts w:ascii="Times New Roman" w:hAnsi="Times New Roman" w:cs="Times New Roman"/>
          <w:color w:val="000000"/>
          <w:lang w:val="es-ES"/>
        </w:rPr>
        <w:t>.</w:t>
      </w:r>
    </w:p>
    <w:p w:rsidR="004C77C4" w:rsidRPr="004C77C4" w:rsidRDefault="004C77C4" w:rsidP="004C77C4">
      <w:pPr>
        <w:suppressAutoHyphens w:val="0"/>
        <w:autoSpaceDE w:val="0"/>
        <w:autoSpaceDN w:val="0"/>
        <w:adjustRightInd w:val="0"/>
        <w:spacing w:after="120"/>
        <w:jc w:val="both"/>
        <w:rPr>
          <w:rFonts w:ascii="Times New Roman" w:hAnsi="Times New Roman" w:cs="Times New Roman"/>
          <w:color w:val="000000"/>
          <w:lang w:val="es-ES"/>
        </w:rPr>
      </w:pPr>
      <w:r w:rsidRPr="004C77C4">
        <w:rPr>
          <w:rFonts w:ascii="Times New Roman" w:hAnsi="Times New Roman" w:cs="Times New Roman"/>
          <w:color w:val="000000"/>
          <w:lang w:val="es-ES"/>
        </w:rPr>
        <w:t xml:space="preserve">[5] Manual de uso Mibicheck veccsa </w:t>
      </w:r>
      <w:r w:rsidRPr="004C77C4">
        <w:rPr>
          <w:rFonts w:ascii="Times New Roman" w:hAnsi="Times New Roman" w:cs="Times New Roman"/>
          <w:color w:val="0000FF"/>
          <w:lang w:val="es-ES"/>
        </w:rPr>
        <w:t>http://www.veccsa.com/_stagev/descarga/veccsa_Mibicheck.pdf</w:t>
      </w:r>
      <w:r w:rsidRPr="004C77C4">
        <w:rPr>
          <w:rFonts w:ascii="Times New Roman" w:hAnsi="Times New Roman" w:cs="Times New Roman"/>
          <w:color w:val="000000"/>
          <w:lang w:val="es-ES"/>
        </w:rPr>
        <w:t>.</w:t>
      </w:r>
    </w:p>
    <w:p w:rsidR="004C77C4" w:rsidRPr="004C77C4" w:rsidRDefault="004C77C4" w:rsidP="004C77C4">
      <w:pPr>
        <w:suppressAutoHyphens w:val="0"/>
        <w:autoSpaceDE w:val="0"/>
        <w:autoSpaceDN w:val="0"/>
        <w:adjustRightInd w:val="0"/>
        <w:spacing w:after="120"/>
        <w:jc w:val="both"/>
        <w:rPr>
          <w:rFonts w:ascii="Times New Roman" w:hAnsi="Times New Roman" w:cs="Times New Roman"/>
          <w:color w:val="000000"/>
          <w:lang w:val="es-ES"/>
        </w:rPr>
      </w:pPr>
      <w:r w:rsidRPr="004C77C4">
        <w:rPr>
          <w:rFonts w:ascii="Times New Roman" w:hAnsi="Times New Roman" w:cs="Times New Roman"/>
          <w:color w:val="000000"/>
          <w:lang w:val="es-ES"/>
        </w:rPr>
        <w:t>[6] A. Proulx, J. R. Ballinger y K. Y. Gulenchyn. Routine determination</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 xml:space="preserve">of radiochemical purity of 99mTc-MIBI. </w:t>
      </w:r>
      <w:r w:rsidRPr="004C77C4">
        <w:rPr>
          <w:rFonts w:ascii="Times New Roman" w:hAnsi="Times New Roman" w:cs="Times New Roman"/>
          <w:color w:val="0000FF"/>
          <w:lang w:val="es-ES"/>
        </w:rPr>
        <w:t>Int. J.</w:t>
      </w:r>
      <w:r>
        <w:rPr>
          <w:rFonts w:ascii="Times New Roman" w:hAnsi="Times New Roman" w:cs="Times New Roman"/>
          <w:color w:val="0000FF"/>
          <w:lang w:val="es-ES"/>
        </w:rPr>
        <w:t xml:space="preserve"> </w:t>
      </w:r>
      <w:r w:rsidRPr="004C77C4">
        <w:rPr>
          <w:rFonts w:ascii="Times New Roman" w:hAnsi="Times New Roman" w:cs="Times New Roman"/>
          <w:color w:val="0000FF"/>
          <w:lang w:val="es-ES"/>
        </w:rPr>
        <w:t xml:space="preserve">Rad. Appl. Instr. A </w:t>
      </w:r>
      <w:r w:rsidRPr="004C77C4">
        <w:rPr>
          <w:rFonts w:ascii="Times New Roman" w:hAnsi="Times New Roman" w:cs="Times New Roman"/>
          <w:b/>
          <w:color w:val="0000FF"/>
          <w:lang w:val="es-ES"/>
        </w:rPr>
        <w:t>40</w:t>
      </w:r>
      <w:r w:rsidRPr="004C77C4">
        <w:rPr>
          <w:rFonts w:ascii="Times New Roman" w:hAnsi="Times New Roman" w:cs="Times New Roman"/>
          <w:color w:val="0000FF"/>
          <w:lang w:val="es-ES"/>
        </w:rPr>
        <w:t>, 95-97 (1989)</w:t>
      </w:r>
      <w:r w:rsidRPr="004C77C4">
        <w:rPr>
          <w:rFonts w:ascii="Times New Roman" w:hAnsi="Times New Roman" w:cs="Times New Roman"/>
          <w:color w:val="000000"/>
          <w:lang w:val="es-ES"/>
        </w:rPr>
        <w:t>.</w:t>
      </w:r>
    </w:p>
    <w:p w:rsidR="004C77C4" w:rsidRPr="004C77C4" w:rsidRDefault="004C77C4" w:rsidP="004C77C4">
      <w:pPr>
        <w:suppressAutoHyphens w:val="0"/>
        <w:autoSpaceDE w:val="0"/>
        <w:autoSpaceDN w:val="0"/>
        <w:adjustRightInd w:val="0"/>
        <w:spacing w:after="120"/>
        <w:jc w:val="both"/>
        <w:rPr>
          <w:rFonts w:ascii="Times New Roman" w:hAnsi="Times New Roman" w:cs="Times New Roman"/>
          <w:color w:val="000000"/>
          <w:lang w:val="es-ES"/>
        </w:rPr>
      </w:pPr>
      <w:r w:rsidRPr="004C77C4">
        <w:rPr>
          <w:rFonts w:ascii="Times New Roman" w:hAnsi="Times New Roman" w:cs="Times New Roman"/>
          <w:color w:val="000000"/>
          <w:lang w:val="es-ES"/>
        </w:rPr>
        <w:t>[7] C. Y. Chain y L. Illanes. Radiofármacos en medicina nuclear:</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Fundamentos y aplicación clínica ISBN: 978-950-34-1229-9 (EDULP, La Plata, Buenos Aires, Argentina, 2015).</w:t>
      </w:r>
    </w:p>
    <w:p w:rsidR="00324B6F" w:rsidRPr="004C77C4" w:rsidRDefault="004C77C4" w:rsidP="004C77C4">
      <w:pPr>
        <w:suppressAutoHyphens w:val="0"/>
        <w:autoSpaceDE w:val="0"/>
        <w:autoSpaceDN w:val="0"/>
        <w:adjustRightInd w:val="0"/>
        <w:spacing w:after="120"/>
        <w:jc w:val="both"/>
        <w:rPr>
          <w:rFonts w:ascii="Times New Roman" w:hAnsi="Times New Roman" w:cs="Times New Roman"/>
        </w:rPr>
      </w:pPr>
      <w:r w:rsidRPr="004C77C4">
        <w:rPr>
          <w:rFonts w:ascii="Times New Roman" w:hAnsi="Times New Roman" w:cs="Times New Roman"/>
          <w:color w:val="000000"/>
          <w:lang w:val="es-ES"/>
        </w:rPr>
        <w:lastRenderedPageBreak/>
        <w:t>[8] P. L. Tilkemeier, J. Bourque, R. Doukky, R. Sanghani y R. L.</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Weinberg. ASNC imaging guidelines for nuclear cardiology</w:t>
      </w:r>
      <w:r>
        <w:rPr>
          <w:rFonts w:ascii="Times New Roman" w:hAnsi="Times New Roman" w:cs="Times New Roman"/>
          <w:color w:val="000000"/>
          <w:lang w:val="es-ES"/>
        </w:rPr>
        <w:t xml:space="preserve"> </w:t>
      </w:r>
      <w:r w:rsidRPr="004C77C4">
        <w:rPr>
          <w:rFonts w:ascii="Times New Roman" w:hAnsi="Times New Roman" w:cs="Times New Roman"/>
          <w:color w:val="000000"/>
          <w:lang w:val="es-ES"/>
        </w:rPr>
        <w:t xml:space="preserve">procedures. </w:t>
      </w:r>
      <w:r w:rsidRPr="004C77C4">
        <w:rPr>
          <w:rFonts w:ascii="Times New Roman" w:hAnsi="Times New Roman" w:cs="Times New Roman"/>
          <w:color w:val="0000FF"/>
          <w:lang w:val="es-ES"/>
        </w:rPr>
        <w:t xml:space="preserve">J. Nucl. Cardiol. </w:t>
      </w:r>
      <w:r w:rsidRPr="004C77C4">
        <w:rPr>
          <w:rFonts w:ascii="Times New Roman" w:hAnsi="Times New Roman" w:cs="Times New Roman"/>
          <w:b/>
          <w:color w:val="0000FF"/>
          <w:lang w:val="es-ES"/>
        </w:rPr>
        <w:t>24</w:t>
      </w:r>
      <w:r w:rsidRPr="004C77C4">
        <w:rPr>
          <w:rFonts w:ascii="Times New Roman" w:hAnsi="Times New Roman" w:cs="Times New Roman"/>
          <w:color w:val="0000FF"/>
          <w:lang w:val="es-ES"/>
        </w:rPr>
        <w:t>, 2064-2128 (2017)</w:t>
      </w:r>
      <w:r w:rsidRPr="004C77C4">
        <w:rPr>
          <w:rFonts w:ascii="Times New Roman" w:hAnsi="Times New Roman" w:cs="Times New Roman"/>
          <w:color w:val="000000"/>
          <w:lang w:val="es-ES"/>
        </w:rPr>
        <w:t>.</w:t>
      </w:r>
    </w:p>
    <w:sectPr w:rsidR="00324B6F" w:rsidRPr="004C77C4" w:rsidSect="006B69AC">
      <w:pgSz w:w="12240" w:h="15840"/>
      <w:pgMar w:top="567" w:right="567" w:bottom="567" w:left="567" w:header="0" w:footer="0" w:gutter="0"/>
      <w:cols w:space="720"/>
      <w:formProt w:val="0"/>
      <w:docGrid w:linePitch="10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grammar="clean"/>
  <w:defaultTabStop w:val="720"/>
  <w:autoHyphenation/>
  <w:hyphenationZone w:val="425"/>
  <w:characterSpacingControl w:val="doNotCompress"/>
  <w:compat/>
  <w:rsids>
    <w:rsidRoot w:val="00365105"/>
    <w:rsid w:val="00010BE2"/>
    <w:rsid w:val="00017958"/>
    <w:rsid w:val="000233E6"/>
    <w:rsid w:val="001907C9"/>
    <w:rsid w:val="001E7CDA"/>
    <w:rsid w:val="00324B6F"/>
    <w:rsid w:val="00365105"/>
    <w:rsid w:val="003D2A65"/>
    <w:rsid w:val="00406D46"/>
    <w:rsid w:val="00454A8F"/>
    <w:rsid w:val="004C77C4"/>
    <w:rsid w:val="004E6207"/>
    <w:rsid w:val="006B69AC"/>
    <w:rsid w:val="006D0D14"/>
    <w:rsid w:val="00B72EFD"/>
    <w:rsid w:val="00BB7304"/>
    <w:rsid w:val="00C726B1"/>
    <w:rsid w:val="00CB0C29"/>
    <w:rsid w:val="00CB286A"/>
    <w:rsid w:val="00DB23B8"/>
    <w:rsid w:val="00DE3AD5"/>
    <w:rsid w:val="00E408EA"/>
    <w:rsid w:val="00E45692"/>
    <w:rsid w:val="00EA760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267"/>
  <w:style w:type="paragraph" w:default="1" w:styleId="Normal">
    <w:name w:val="Normal"/>
    <w:qFormat/>
    <w:rsid w:val="00365105"/>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Textoindependiente"/>
    <w:uiPriority w:val="9"/>
    <w:qFormat/>
    <w:rsid w:val="00365105"/>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customStyle="1" w:styleId="Heading2">
    <w:name w:val="Heading 2"/>
    <w:basedOn w:val="Normal"/>
    <w:next w:val="Textoindependiente"/>
    <w:uiPriority w:val="9"/>
    <w:unhideWhenUsed/>
    <w:qFormat/>
    <w:rsid w:val="00365105"/>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customStyle="1" w:styleId="Heading3">
    <w:name w:val="Heading 3"/>
    <w:basedOn w:val="Normal"/>
    <w:next w:val="Textoindependiente"/>
    <w:uiPriority w:val="9"/>
    <w:unhideWhenUsed/>
    <w:qFormat/>
    <w:rsid w:val="0036510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Normal"/>
    <w:next w:val="Textoindependiente"/>
    <w:uiPriority w:val="9"/>
    <w:unhideWhenUsed/>
    <w:qFormat/>
    <w:rsid w:val="00365105"/>
    <w:pPr>
      <w:keepNext/>
      <w:keepLines/>
      <w:spacing w:before="200" w:after="0"/>
      <w:outlineLvl w:val="3"/>
    </w:pPr>
    <w:rPr>
      <w:rFonts w:asciiTheme="majorHAnsi" w:eastAsiaTheme="majorEastAsia" w:hAnsiTheme="majorHAnsi" w:cstheme="majorBidi"/>
      <w:bCs/>
      <w:i/>
      <w:color w:val="4F81BD" w:themeColor="accent1"/>
    </w:rPr>
  </w:style>
  <w:style w:type="paragraph" w:customStyle="1" w:styleId="Heading5">
    <w:name w:val="Heading 5"/>
    <w:basedOn w:val="Normal"/>
    <w:next w:val="Textoindependiente"/>
    <w:uiPriority w:val="9"/>
    <w:unhideWhenUsed/>
    <w:qFormat/>
    <w:rsid w:val="00365105"/>
    <w:pPr>
      <w:keepNext/>
      <w:keepLines/>
      <w:spacing w:before="200" w:after="0"/>
      <w:outlineLvl w:val="4"/>
    </w:pPr>
    <w:rPr>
      <w:rFonts w:asciiTheme="majorHAnsi" w:eastAsiaTheme="majorEastAsia" w:hAnsiTheme="majorHAnsi" w:cstheme="majorBidi"/>
      <w:iCs/>
      <w:color w:val="4F81BD" w:themeColor="accent1"/>
    </w:rPr>
  </w:style>
  <w:style w:type="paragraph" w:customStyle="1" w:styleId="Heading6">
    <w:name w:val="Heading 6"/>
    <w:basedOn w:val="Normal"/>
    <w:next w:val="Textoindependiente"/>
    <w:uiPriority w:val="9"/>
    <w:unhideWhenUsed/>
    <w:qFormat/>
    <w:rsid w:val="00365105"/>
    <w:pPr>
      <w:keepNext/>
      <w:keepLines/>
      <w:spacing w:before="200" w:after="0"/>
      <w:outlineLvl w:val="5"/>
    </w:pPr>
    <w:rPr>
      <w:rFonts w:asciiTheme="majorHAnsi" w:eastAsiaTheme="majorEastAsia" w:hAnsiTheme="majorHAnsi" w:cstheme="majorBidi"/>
      <w:color w:val="4F81BD" w:themeColor="accent1"/>
    </w:rPr>
  </w:style>
  <w:style w:type="paragraph" w:customStyle="1" w:styleId="Heading7">
    <w:name w:val="Heading 7"/>
    <w:basedOn w:val="Normal"/>
    <w:next w:val="Textoindependiente"/>
    <w:uiPriority w:val="9"/>
    <w:unhideWhenUsed/>
    <w:qFormat/>
    <w:rsid w:val="00365105"/>
    <w:pPr>
      <w:keepNext/>
      <w:keepLines/>
      <w:spacing w:before="200" w:after="0"/>
      <w:outlineLvl w:val="6"/>
    </w:pPr>
    <w:rPr>
      <w:rFonts w:asciiTheme="majorHAnsi" w:eastAsiaTheme="majorEastAsia" w:hAnsiTheme="majorHAnsi" w:cstheme="majorBidi"/>
      <w:color w:val="4F81BD" w:themeColor="accent1"/>
    </w:rPr>
  </w:style>
  <w:style w:type="paragraph" w:customStyle="1" w:styleId="Heading8">
    <w:name w:val="Heading 8"/>
    <w:basedOn w:val="Normal"/>
    <w:next w:val="Textoindependiente"/>
    <w:uiPriority w:val="9"/>
    <w:unhideWhenUsed/>
    <w:qFormat/>
    <w:rsid w:val="00365105"/>
    <w:pPr>
      <w:keepNext/>
      <w:keepLines/>
      <w:spacing w:before="200" w:after="0"/>
      <w:outlineLvl w:val="7"/>
    </w:pPr>
    <w:rPr>
      <w:rFonts w:asciiTheme="majorHAnsi" w:eastAsiaTheme="majorEastAsia" w:hAnsiTheme="majorHAnsi" w:cstheme="majorBidi"/>
      <w:color w:val="4F81BD" w:themeColor="accent1"/>
    </w:rPr>
  </w:style>
  <w:style w:type="paragraph" w:customStyle="1" w:styleId="Heading9">
    <w:name w:val="Heading 9"/>
    <w:basedOn w:val="Normal"/>
    <w:next w:val="Textoindependiente"/>
    <w:uiPriority w:val="9"/>
    <w:unhideWhenUsed/>
    <w:qFormat/>
    <w:rsid w:val="00365105"/>
    <w:pPr>
      <w:keepNext/>
      <w:keepLines/>
      <w:spacing w:before="200" w:after="0"/>
      <w:outlineLvl w:val="8"/>
    </w:pPr>
    <w:rPr>
      <w:rFonts w:asciiTheme="majorHAnsi" w:eastAsiaTheme="majorEastAsia" w:hAnsiTheme="majorHAnsi" w:cstheme="majorBidi"/>
      <w:color w:val="4F81BD" w:themeColor="accent1"/>
    </w:rPr>
  </w:style>
  <w:style w:type="character" w:customStyle="1" w:styleId="TextoindependienteCar">
    <w:name w:val="Texto independiente Car"/>
    <w:basedOn w:val="Fuentedeprrafopredeter"/>
    <w:link w:val="Caption"/>
    <w:qFormat/>
    <w:rsid w:val="00365105"/>
  </w:style>
  <w:style w:type="character" w:customStyle="1" w:styleId="VerbatimChar">
    <w:name w:val="Verbatim Char"/>
    <w:basedOn w:val="TextoindependienteCar"/>
    <w:link w:val="SourceCode"/>
    <w:qFormat/>
    <w:rsid w:val="00365105"/>
    <w:rPr>
      <w:rFonts w:ascii="Consolas" w:hAnsi="Consolas"/>
      <w:sz w:val="22"/>
    </w:rPr>
  </w:style>
  <w:style w:type="character" w:customStyle="1" w:styleId="Ancladenotaalpie">
    <w:name w:val="Ancla de nota al pie"/>
    <w:rsid w:val="00365105"/>
    <w:rPr>
      <w:vertAlign w:val="superscript"/>
    </w:rPr>
  </w:style>
  <w:style w:type="character" w:customStyle="1" w:styleId="FootnoteCharacters">
    <w:name w:val="Footnote Characters"/>
    <w:basedOn w:val="TextoindependienteCar"/>
    <w:qFormat/>
    <w:rsid w:val="00365105"/>
    <w:rPr>
      <w:vertAlign w:val="superscript"/>
    </w:rPr>
  </w:style>
  <w:style w:type="character" w:customStyle="1" w:styleId="EnlacedeInternet">
    <w:name w:val="Enlace de Internet"/>
    <w:basedOn w:val="TextoindependienteCar"/>
    <w:rsid w:val="00365105"/>
    <w:rPr>
      <w:color w:val="4F81BD" w:themeColor="accent1"/>
    </w:rPr>
  </w:style>
  <w:style w:type="character" w:customStyle="1" w:styleId="KeywordTok">
    <w:name w:val="KeywordTok"/>
    <w:basedOn w:val="VerbatimChar"/>
    <w:qFormat/>
    <w:rsid w:val="00365105"/>
    <w:rPr>
      <w:b/>
      <w:color w:val="007020"/>
    </w:rPr>
  </w:style>
  <w:style w:type="character" w:customStyle="1" w:styleId="DataTypeTok">
    <w:name w:val="DataTypeTok"/>
    <w:basedOn w:val="VerbatimChar"/>
    <w:qFormat/>
    <w:rsid w:val="00365105"/>
    <w:rPr>
      <w:color w:val="902000"/>
    </w:rPr>
  </w:style>
  <w:style w:type="character" w:customStyle="1" w:styleId="DecValTok">
    <w:name w:val="DecValTok"/>
    <w:basedOn w:val="VerbatimChar"/>
    <w:qFormat/>
    <w:rsid w:val="00365105"/>
    <w:rPr>
      <w:color w:val="40A070"/>
    </w:rPr>
  </w:style>
  <w:style w:type="character" w:customStyle="1" w:styleId="BaseNTok">
    <w:name w:val="BaseNTok"/>
    <w:basedOn w:val="VerbatimChar"/>
    <w:qFormat/>
    <w:rsid w:val="00365105"/>
    <w:rPr>
      <w:color w:val="40A070"/>
    </w:rPr>
  </w:style>
  <w:style w:type="character" w:customStyle="1" w:styleId="FloatTok">
    <w:name w:val="FloatTok"/>
    <w:basedOn w:val="VerbatimChar"/>
    <w:qFormat/>
    <w:rsid w:val="00365105"/>
    <w:rPr>
      <w:color w:val="40A070"/>
    </w:rPr>
  </w:style>
  <w:style w:type="character" w:customStyle="1" w:styleId="ConstantTok">
    <w:name w:val="ConstantTok"/>
    <w:basedOn w:val="VerbatimChar"/>
    <w:qFormat/>
    <w:rsid w:val="00365105"/>
    <w:rPr>
      <w:color w:val="880000"/>
    </w:rPr>
  </w:style>
  <w:style w:type="character" w:customStyle="1" w:styleId="CharTok">
    <w:name w:val="CharTok"/>
    <w:basedOn w:val="VerbatimChar"/>
    <w:qFormat/>
    <w:rsid w:val="00365105"/>
    <w:rPr>
      <w:color w:val="4070A0"/>
    </w:rPr>
  </w:style>
  <w:style w:type="character" w:customStyle="1" w:styleId="SpecialCharTok">
    <w:name w:val="SpecialCharTok"/>
    <w:basedOn w:val="VerbatimChar"/>
    <w:qFormat/>
    <w:rsid w:val="00365105"/>
    <w:rPr>
      <w:color w:val="4070A0"/>
    </w:rPr>
  </w:style>
  <w:style w:type="character" w:customStyle="1" w:styleId="StringTok">
    <w:name w:val="StringTok"/>
    <w:basedOn w:val="VerbatimChar"/>
    <w:qFormat/>
    <w:rsid w:val="00365105"/>
    <w:rPr>
      <w:color w:val="4070A0"/>
    </w:rPr>
  </w:style>
  <w:style w:type="character" w:customStyle="1" w:styleId="VerbatimStringTok">
    <w:name w:val="VerbatimStringTok"/>
    <w:basedOn w:val="VerbatimChar"/>
    <w:qFormat/>
    <w:rsid w:val="00365105"/>
    <w:rPr>
      <w:color w:val="4070A0"/>
    </w:rPr>
  </w:style>
  <w:style w:type="character" w:customStyle="1" w:styleId="SpecialStringTok">
    <w:name w:val="SpecialStringTok"/>
    <w:basedOn w:val="VerbatimChar"/>
    <w:qFormat/>
    <w:rsid w:val="00365105"/>
    <w:rPr>
      <w:color w:val="BB6688"/>
    </w:rPr>
  </w:style>
  <w:style w:type="character" w:customStyle="1" w:styleId="ImportTok">
    <w:name w:val="ImportTok"/>
    <w:basedOn w:val="VerbatimChar"/>
    <w:qFormat/>
    <w:rsid w:val="00365105"/>
  </w:style>
  <w:style w:type="character" w:customStyle="1" w:styleId="CommentTok">
    <w:name w:val="CommentTok"/>
    <w:basedOn w:val="VerbatimChar"/>
    <w:qFormat/>
    <w:rsid w:val="00365105"/>
    <w:rPr>
      <w:i/>
      <w:color w:val="60A0B0"/>
    </w:rPr>
  </w:style>
  <w:style w:type="character" w:customStyle="1" w:styleId="DocumentationTok">
    <w:name w:val="DocumentationTok"/>
    <w:basedOn w:val="VerbatimChar"/>
    <w:qFormat/>
    <w:rsid w:val="00365105"/>
    <w:rPr>
      <w:i/>
      <w:color w:val="BA2121"/>
    </w:rPr>
  </w:style>
  <w:style w:type="character" w:customStyle="1" w:styleId="AnnotationTok">
    <w:name w:val="AnnotationTok"/>
    <w:basedOn w:val="VerbatimChar"/>
    <w:qFormat/>
    <w:rsid w:val="00365105"/>
    <w:rPr>
      <w:b/>
      <w:i/>
      <w:color w:val="60A0B0"/>
    </w:rPr>
  </w:style>
  <w:style w:type="character" w:customStyle="1" w:styleId="CommentVarTok">
    <w:name w:val="CommentVarTok"/>
    <w:basedOn w:val="VerbatimChar"/>
    <w:qFormat/>
    <w:rsid w:val="00365105"/>
    <w:rPr>
      <w:b/>
      <w:i/>
      <w:color w:val="60A0B0"/>
    </w:rPr>
  </w:style>
  <w:style w:type="character" w:customStyle="1" w:styleId="OtherTok">
    <w:name w:val="OtherTok"/>
    <w:basedOn w:val="VerbatimChar"/>
    <w:qFormat/>
    <w:rsid w:val="00365105"/>
    <w:rPr>
      <w:color w:val="007020"/>
    </w:rPr>
  </w:style>
  <w:style w:type="character" w:customStyle="1" w:styleId="FunctionTok">
    <w:name w:val="FunctionTok"/>
    <w:basedOn w:val="VerbatimChar"/>
    <w:qFormat/>
    <w:rsid w:val="00365105"/>
    <w:rPr>
      <w:color w:val="06287E"/>
    </w:rPr>
  </w:style>
  <w:style w:type="character" w:customStyle="1" w:styleId="VariableTok">
    <w:name w:val="VariableTok"/>
    <w:basedOn w:val="VerbatimChar"/>
    <w:qFormat/>
    <w:rsid w:val="00365105"/>
    <w:rPr>
      <w:color w:val="19177C"/>
    </w:rPr>
  </w:style>
  <w:style w:type="character" w:customStyle="1" w:styleId="ControlFlowTok">
    <w:name w:val="ControlFlowTok"/>
    <w:basedOn w:val="VerbatimChar"/>
    <w:qFormat/>
    <w:rsid w:val="00365105"/>
    <w:rPr>
      <w:b/>
      <w:color w:val="007020"/>
    </w:rPr>
  </w:style>
  <w:style w:type="character" w:customStyle="1" w:styleId="OperatorTok">
    <w:name w:val="OperatorTok"/>
    <w:basedOn w:val="VerbatimChar"/>
    <w:qFormat/>
    <w:rsid w:val="00365105"/>
    <w:rPr>
      <w:color w:val="666666"/>
    </w:rPr>
  </w:style>
  <w:style w:type="character" w:customStyle="1" w:styleId="BuiltInTok">
    <w:name w:val="BuiltInTok"/>
    <w:basedOn w:val="VerbatimChar"/>
    <w:qFormat/>
    <w:rsid w:val="00365105"/>
  </w:style>
  <w:style w:type="character" w:customStyle="1" w:styleId="ExtensionTok">
    <w:name w:val="ExtensionTok"/>
    <w:basedOn w:val="VerbatimChar"/>
    <w:qFormat/>
    <w:rsid w:val="00365105"/>
  </w:style>
  <w:style w:type="character" w:customStyle="1" w:styleId="PreprocessorTok">
    <w:name w:val="PreprocessorTok"/>
    <w:basedOn w:val="VerbatimChar"/>
    <w:qFormat/>
    <w:rsid w:val="00365105"/>
    <w:rPr>
      <w:color w:val="BC7A00"/>
    </w:rPr>
  </w:style>
  <w:style w:type="character" w:customStyle="1" w:styleId="AttributeTok">
    <w:name w:val="AttributeTok"/>
    <w:basedOn w:val="VerbatimChar"/>
    <w:qFormat/>
    <w:rsid w:val="00365105"/>
    <w:rPr>
      <w:color w:val="7D9029"/>
    </w:rPr>
  </w:style>
  <w:style w:type="character" w:customStyle="1" w:styleId="RegionMarkerTok">
    <w:name w:val="RegionMarkerTok"/>
    <w:basedOn w:val="VerbatimChar"/>
    <w:qFormat/>
    <w:rsid w:val="00365105"/>
  </w:style>
  <w:style w:type="character" w:customStyle="1" w:styleId="InformationTok">
    <w:name w:val="InformationTok"/>
    <w:basedOn w:val="VerbatimChar"/>
    <w:qFormat/>
    <w:rsid w:val="00365105"/>
    <w:rPr>
      <w:b/>
      <w:i/>
      <w:color w:val="60A0B0"/>
    </w:rPr>
  </w:style>
  <w:style w:type="character" w:customStyle="1" w:styleId="WarningTok">
    <w:name w:val="WarningTok"/>
    <w:basedOn w:val="VerbatimChar"/>
    <w:qFormat/>
    <w:rsid w:val="00365105"/>
    <w:rPr>
      <w:b/>
      <w:i/>
      <w:color w:val="60A0B0"/>
    </w:rPr>
  </w:style>
  <w:style w:type="character" w:customStyle="1" w:styleId="AlertTok">
    <w:name w:val="AlertTok"/>
    <w:basedOn w:val="VerbatimChar"/>
    <w:qFormat/>
    <w:rsid w:val="00365105"/>
    <w:rPr>
      <w:b/>
      <w:color w:val="FF0000"/>
    </w:rPr>
  </w:style>
  <w:style w:type="character" w:customStyle="1" w:styleId="ErrorTok">
    <w:name w:val="ErrorTok"/>
    <w:basedOn w:val="VerbatimChar"/>
    <w:qFormat/>
    <w:rsid w:val="00365105"/>
    <w:rPr>
      <w:b/>
      <w:color w:val="FF0000"/>
    </w:rPr>
  </w:style>
  <w:style w:type="character" w:customStyle="1" w:styleId="NormalTok">
    <w:name w:val="NormalTok"/>
    <w:basedOn w:val="VerbatimChar"/>
    <w:qFormat/>
    <w:rsid w:val="00365105"/>
  </w:style>
  <w:style w:type="paragraph" w:styleId="Ttulo">
    <w:name w:val="Title"/>
    <w:basedOn w:val="Normal"/>
    <w:next w:val="Textoindependiente"/>
    <w:qFormat/>
    <w:rsid w:val="00365105"/>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Textoindependiente">
    <w:name w:val="Body Text"/>
    <w:basedOn w:val="Normal"/>
    <w:link w:val="TextoindependienteCar"/>
    <w:qFormat/>
    <w:rsid w:val="00365105"/>
    <w:pPr>
      <w:spacing w:before="180" w:after="180"/>
    </w:pPr>
  </w:style>
  <w:style w:type="paragraph" w:styleId="Lista">
    <w:name w:val="List"/>
    <w:basedOn w:val="Textoindependiente"/>
    <w:rsid w:val="00365105"/>
    <w:rPr>
      <w:rFonts w:cs="Lucida Sans"/>
    </w:rPr>
  </w:style>
  <w:style w:type="paragraph" w:customStyle="1" w:styleId="Caption">
    <w:name w:val="Caption"/>
    <w:basedOn w:val="Normal"/>
    <w:link w:val="TextoindependienteCar"/>
    <w:qFormat/>
    <w:rsid w:val="00365105"/>
    <w:pPr>
      <w:spacing w:after="120"/>
    </w:pPr>
    <w:rPr>
      <w:i/>
    </w:rPr>
  </w:style>
  <w:style w:type="paragraph" w:customStyle="1" w:styleId="ndice">
    <w:name w:val="Índice"/>
    <w:basedOn w:val="Normal"/>
    <w:qFormat/>
    <w:rsid w:val="00365105"/>
    <w:pPr>
      <w:suppressLineNumbers/>
    </w:pPr>
    <w:rPr>
      <w:rFonts w:cs="Lucida Sans"/>
    </w:rPr>
  </w:style>
  <w:style w:type="paragraph" w:customStyle="1" w:styleId="FirstParagraph">
    <w:name w:val="First Paragraph"/>
    <w:basedOn w:val="Textoindependiente"/>
    <w:next w:val="Textoindependiente"/>
    <w:qFormat/>
    <w:rsid w:val="00365105"/>
  </w:style>
  <w:style w:type="paragraph" w:customStyle="1" w:styleId="Compact">
    <w:name w:val="Compact"/>
    <w:basedOn w:val="Textoindependiente"/>
    <w:qFormat/>
    <w:rsid w:val="00365105"/>
    <w:pPr>
      <w:spacing w:before="36" w:after="36"/>
    </w:pPr>
  </w:style>
  <w:style w:type="paragraph" w:styleId="Subttulo">
    <w:name w:val="Subtitle"/>
    <w:basedOn w:val="Ttulo"/>
    <w:next w:val="Textoindependiente"/>
    <w:qFormat/>
    <w:rsid w:val="00365105"/>
    <w:pPr>
      <w:spacing w:before="240"/>
    </w:pPr>
    <w:rPr>
      <w:sz w:val="30"/>
      <w:szCs w:val="30"/>
    </w:rPr>
  </w:style>
  <w:style w:type="paragraph" w:customStyle="1" w:styleId="Author">
    <w:name w:val="Author"/>
    <w:next w:val="Textoindependiente"/>
    <w:qFormat/>
    <w:rsid w:val="00365105"/>
    <w:pPr>
      <w:keepNext/>
      <w:keepLines/>
      <w:spacing w:after="200"/>
      <w:jc w:val="center"/>
    </w:pPr>
  </w:style>
  <w:style w:type="paragraph" w:styleId="Fecha">
    <w:name w:val="Date"/>
    <w:next w:val="Textoindependiente"/>
    <w:qFormat/>
    <w:rsid w:val="00365105"/>
    <w:pPr>
      <w:keepNext/>
      <w:keepLines/>
      <w:spacing w:after="200"/>
      <w:jc w:val="center"/>
    </w:pPr>
  </w:style>
  <w:style w:type="paragraph" w:customStyle="1" w:styleId="Abstract">
    <w:name w:val="Abstract"/>
    <w:basedOn w:val="Normal"/>
    <w:next w:val="Textoindependiente"/>
    <w:qFormat/>
    <w:rsid w:val="00365105"/>
    <w:pPr>
      <w:keepNext/>
      <w:keepLines/>
      <w:spacing w:before="300" w:after="300"/>
    </w:pPr>
    <w:rPr>
      <w:sz w:val="20"/>
      <w:szCs w:val="20"/>
    </w:rPr>
  </w:style>
  <w:style w:type="paragraph" w:styleId="Bibliografa">
    <w:name w:val="Bibliography"/>
    <w:basedOn w:val="Normal"/>
    <w:qFormat/>
    <w:rsid w:val="00365105"/>
  </w:style>
  <w:style w:type="paragraph" w:styleId="Textodebloque">
    <w:name w:val="Block Text"/>
    <w:basedOn w:val="Textoindependiente"/>
    <w:next w:val="Textoindependiente"/>
    <w:uiPriority w:val="9"/>
    <w:unhideWhenUsed/>
    <w:qFormat/>
    <w:rsid w:val="00365105"/>
    <w:pPr>
      <w:spacing w:before="100" w:after="100"/>
      <w:ind w:left="480" w:right="480"/>
    </w:pPr>
  </w:style>
  <w:style w:type="paragraph" w:customStyle="1" w:styleId="FootnoteText">
    <w:name w:val="Footnote Text"/>
    <w:basedOn w:val="Normal"/>
    <w:uiPriority w:val="9"/>
    <w:unhideWhenUsed/>
    <w:qFormat/>
    <w:rsid w:val="00365105"/>
  </w:style>
  <w:style w:type="paragraph" w:customStyle="1" w:styleId="DefinitionTerm">
    <w:name w:val="Definition Term"/>
    <w:basedOn w:val="Normal"/>
    <w:next w:val="Definition"/>
    <w:qFormat/>
    <w:rsid w:val="00365105"/>
    <w:pPr>
      <w:keepNext/>
      <w:keepLines/>
      <w:spacing w:after="0"/>
    </w:pPr>
    <w:rPr>
      <w:b/>
    </w:rPr>
  </w:style>
  <w:style w:type="paragraph" w:customStyle="1" w:styleId="Definition">
    <w:name w:val="Definition"/>
    <w:basedOn w:val="Normal"/>
    <w:qFormat/>
    <w:rsid w:val="00365105"/>
  </w:style>
  <w:style w:type="paragraph" w:customStyle="1" w:styleId="TableCaption">
    <w:name w:val="Table Caption"/>
    <w:basedOn w:val="Caption"/>
    <w:qFormat/>
    <w:rsid w:val="00365105"/>
    <w:pPr>
      <w:keepNext/>
    </w:pPr>
  </w:style>
  <w:style w:type="paragraph" w:customStyle="1" w:styleId="ImageCaption">
    <w:name w:val="Image Caption"/>
    <w:basedOn w:val="Caption"/>
    <w:qFormat/>
    <w:rsid w:val="00365105"/>
  </w:style>
  <w:style w:type="paragraph" w:customStyle="1" w:styleId="Figura">
    <w:name w:val="Figura"/>
    <w:basedOn w:val="Normal"/>
    <w:qFormat/>
    <w:rsid w:val="00365105"/>
  </w:style>
  <w:style w:type="paragraph" w:customStyle="1" w:styleId="CaptionedFigure">
    <w:name w:val="Captioned Figure"/>
    <w:basedOn w:val="Figura"/>
    <w:qFormat/>
    <w:rsid w:val="00365105"/>
    <w:pPr>
      <w:keepNext/>
    </w:pPr>
  </w:style>
  <w:style w:type="paragraph" w:styleId="TtulodeTDC">
    <w:name w:val="TOC Heading"/>
    <w:basedOn w:val="Heading1"/>
    <w:next w:val="Textoindependiente"/>
    <w:uiPriority w:val="39"/>
    <w:unhideWhenUsed/>
    <w:qFormat/>
    <w:rsid w:val="00365105"/>
    <w:pPr>
      <w:spacing w:before="240" w:line="259" w:lineRule="auto"/>
    </w:pPr>
    <w:rPr>
      <w:b w:val="0"/>
      <w:bCs w:val="0"/>
      <w:color w:val="365F91" w:themeColor="accent1" w:themeShade="BF"/>
    </w:rPr>
  </w:style>
  <w:style w:type="paragraph" w:customStyle="1" w:styleId="SourceCode">
    <w:name w:val="Source Code"/>
    <w:basedOn w:val="Normal"/>
    <w:link w:val="VerbatimChar"/>
    <w:qFormat/>
    <w:rsid w:val="00365105"/>
  </w:style>
  <w:style w:type="table" w:customStyle="1" w:styleId="Table">
    <w:name w:val="Table"/>
    <w:semiHidden/>
    <w:unhideWhenUsed/>
    <w:qFormat/>
    <w:rsid w:val="00365105"/>
    <w:tblPr>
      <w:tblCellMar>
        <w:top w:w="0" w:type="dxa"/>
        <w:left w:w="108" w:type="dxa"/>
        <w:bottom w:w="0" w:type="dxa"/>
        <w:right w:w="108" w:type="dxa"/>
      </w:tblCellMar>
    </w:tblPr>
  </w:style>
  <w:style w:type="paragraph" w:styleId="Textodeglobo">
    <w:name w:val="Balloon Text"/>
    <w:basedOn w:val="Normal"/>
    <w:link w:val="TextodegloboCar"/>
    <w:rsid w:val="006B69AC"/>
    <w:pPr>
      <w:spacing w:after="0"/>
    </w:pPr>
    <w:rPr>
      <w:rFonts w:ascii="Tahoma" w:hAnsi="Tahoma" w:cs="Tahoma"/>
      <w:sz w:val="16"/>
      <w:szCs w:val="16"/>
    </w:rPr>
  </w:style>
  <w:style w:type="character" w:customStyle="1" w:styleId="TextodegloboCar">
    <w:name w:val="Texto de globo Car"/>
    <w:basedOn w:val="Fuentedeprrafopredeter"/>
    <w:link w:val="Textodeglobo"/>
    <w:rsid w:val="006B69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emf"/><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2524</Words>
  <Characters>13887</Characters>
  <Application>Microsoft Office Word</Application>
  <DocSecurity>0</DocSecurity>
  <Lines>115</Lines>
  <Paragraphs>32</Paragraphs>
  <ScaleCrop>false</ScaleCrop>
  <Company/>
  <LinksUpToDate>false</LinksUpToDate>
  <CharactersWithSpaces>16379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Mónica</cp:lastModifiedBy>
  <cp:revision>24</cp:revision>
  <dcterms:created xsi:type="dcterms:W3CDTF">2021-11-12T22:03:00Z</dcterms:created>
  <dcterms:modified xsi:type="dcterms:W3CDTF">2021-11-12T22:30:00Z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graphy">
    <vt:lpwstr>referencias.bib</vt:lpwstr>
  </property>
  <property fmtid="{D5CDD505-2E9C-101B-9397-08002B2CF9AE}" pid="3" name="csl">
    <vt:lpwstr>nature2.csl</vt:lpwstr>
  </property>
</Properties>
</file>